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C5802" w14:textId="704D7C88" w:rsidR="00F838EB" w:rsidRPr="00F6072D" w:rsidRDefault="00CF2853" w:rsidP="0059714E">
      <w:pPr>
        <w:pStyle w:val="Heading1"/>
        <w:rPr>
          <w:rFonts w:cs="Arial"/>
        </w:rPr>
      </w:pPr>
      <w:r>
        <w:rPr>
          <w:rFonts w:cs="Arial"/>
        </w:rPr>
        <w:t xml:space="preserve">Biostatistics </w:t>
      </w:r>
      <w:r w:rsidR="0059714E" w:rsidRPr="00F6072D">
        <w:rPr>
          <w:rFonts w:cs="Arial"/>
        </w:rPr>
        <w:t>Scope of Work</w:t>
      </w:r>
      <w:r w:rsidR="000E6D73">
        <w:rPr>
          <w:rFonts w:cs="Arial"/>
        </w:rPr>
        <w:t xml:space="preserve"> Agreement</w:t>
      </w:r>
    </w:p>
    <w:p w14:paraId="5DE6E64C" w14:textId="2662FB0C" w:rsidR="0059714E" w:rsidRPr="00F6072D" w:rsidRDefault="0059714E" w:rsidP="0059714E">
      <w:pPr>
        <w:pStyle w:val="Heading2"/>
      </w:pPr>
      <w:r w:rsidRPr="00F6072D">
        <w:t>General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1800"/>
        <w:gridCol w:w="4050"/>
        <w:gridCol w:w="1710"/>
        <w:gridCol w:w="3240"/>
      </w:tblGrid>
      <w:tr w:rsidR="00716912" w14:paraId="042BC796" w14:textId="77777777" w:rsidTr="00C601A7">
        <w:tc>
          <w:tcPr>
            <w:tcW w:w="1800" w:type="dxa"/>
          </w:tcPr>
          <w:p w14:paraId="4C8A9B03" w14:textId="325660A7" w:rsidR="00716912" w:rsidRPr="0059714E" w:rsidRDefault="00716912" w:rsidP="00716912">
            <w:pPr>
              <w:rPr>
                <w:b/>
              </w:rPr>
            </w:pPr>
            <w:r w:rsidRPr="0059714E">
              <w:rPr>
                <w:b/>
              </w:rPr>
              <w:t>Investigator</w:t>
            </w:r>
          </w:p>
        </w:tc>
        <w:tc>
          <w:tcPr>
            <w:tcW w:w="4050" w:type="dxa"/>
          </w:tcPr>
          <w:p w14:paraId="7C69ADC2" w14:textId="2B48EBF9" w:rsidR="00716912" w:rsidRDefault="00B34029" w:rsidP="00716912">
            <w:r>
              <w:t>Miranda Kroehl</w:t>
            </w:r>
            <w:r w:rsidR="00E24DAA">
              <w:br/>
            </w:r>
            <w:hyperlink r:id="rId11" w:history="1">
              <w:r w:rsidRPr="000524DC">
                <w:rPr>
                  <w:rStyle w:val="Hyperlink"/>
                </w:rPr>
                <w:t>Miranda.Kroehl@ucdenver.edu</w:t>
              </w:r>
            </w:hyperlink>
            <w:r>
              <w:t xml:space="preserve"> </w:t>
            </w:r>
          </w:p>
        </w:tc>
        <w:tc>
          <w:tcPr>
            <w:tcW w:w="1710" w:type="dxa"/>
          </w:tcPr>
          <w:p w14:paraId="7D3BEC5A" w14:textId="457EF439" w:rsidR="00716912" w:rsidRPr="0059714E" w:rsidRDefault="00716912" w:rsidP="00716912">
            <w:pPr>
              <w:rPr>
                <w:b/>
              </w:rPr>
            </w:pPr>
            <w:r w:rsidRPr="0059714E">
              <w:rPr>
                <w:b/>
              </w:rPr>
              <w:t>Date</w:t>
            </w:r>
          </w:p>
        </w:tc>
        <w:tc>
          <w:tcPr>
            <w:tcW w:w="3240" w:type="dxa"/>
          </w:tcPr>
          <w:p w14:paraId="7EE722B7" w14:textId="0A02494B" w:rsidR="00716912" w:rsidRDefault="00B34029" w:rsidP="00716912">
            <w:r>
              <w:t>September 17, 2018</w:t>
            </w:r>
          </w:p>
        </w:tc>
      </w:tr>
      <w:tr w:rsidR="00716912" w14:paraId="45296343" w14:textId="77777777" w:rsidTr="00C601A7">
        <w:tc>
          <w:tcPr>
            <w:tcW w:w="1800" w:type="dxa"/>
          </w:tcPr>
          <w:p w14:paraId="1E9477C5" w14:textId="1DA453CF" w:rsidR="00716912" w:rsidRPr="0059714E" w:rsidRDefault="00716912" w:rsidP="00716912">
            <w:pPr>
              <w:rPr>
                <w:b/>
              </w:rPr>
            </w:pPr>
            <w:r w:rsidRPr="0059714E">
              <w:rPr>
                <w:b/>
              </w:rPr>
              <w:t>Project Number</w:t>
            </w:r>
          </w:p>
        </w:tc>
        <w:tc>
          <w:tcPr>
            <w:tcW w:w="4050" w:type="dxa"/>
          </w:tcPr>
          <w:p w14:paraId="40C395D6" w14:textId="3582CDCC" w:rsidR="00716912" w:rsidRDefault="00936F92" w:rsidP="00716912">
            <w:r>
              <w:t>P3Kroehl</w:t>
            </w:r>
          </w:p>
        </w:tc>
        <w:tc>
          <w:tcPr>
            <w:tcW w:w="1710" w:type="dxa"/>
          </w:tcPr>
          <w:p w14:paraId="2A580158" w14:textId="114E7DB5" w:rsidR="00716912" w:rsidRPr="0059714E" w:rsidRDefault="00716912" w:rsidP="00716912">
            <w:pPr>
              <w:rPr>
                <w:b/>
              </w:rPr>
            </w:pPr>
          </w:p>
        </w:tc>
        <w:tc>
          <w:tcPr>
            <w:tcW w:w="3240" w:type="dxa"/>
          </w:tcPr>
          <w:p w14:paraId="0D385534" w14:textId="77777777" w:rsidR="00716912" w:rsidRDefault="00716912" w:rsidP="00716912"/>
        </w:tc>
      </w:tr>
      <w:tr w:rsidR="00D42866" w14:paraId="2B5BDE2A" w14:textId="77777777" w:rsidTr="00AA0EAA">
        <w:tc>
          <w:tcPr>
            <w:tcW w:w="1800" w:type="dxa"/>
          </w:tcPr>
          <w:p w14:paraId="5FD1E418" w14:textId="358D72CE" w:rsidR="00D42866" w:rsidRPr="0059714E" w:rsidRDefault="00D42866" w:rsidP="00716912">
            <w:pPr>
              <w:rPr>
                <w:b/>
              </w:rPr>
            </w:pPr>
            <w:r>
              <w:rPr>
                <w:b/>
              </w:rPr>
              <w:t>Project Title</w:t>
            </w:r>
          </w:p>
        </w:tc>
        <w:tc>
          <w:tcPr>
            <w:tcW w:w="9000" w:type="dxa"/>
            <w:gridSpan w:val="3"/>
          </w:tcPr>
          <w:p w14:paraId="1B8BC298" w14:textId="460861A5" w:rsidR="00936F92" w:rsidRPr="00936F92" w:rsidRDefault="00936F92" w:rsidP="00936F92">
            <w:r w:rsidRPr="00936F92">
              <w:t>Efficacy and safety of twice- vs once-daily dosing of lisinopril</w:t>
            </w:r>
          </w:p>
          <w:p w14:paraId="7FE5BBA0" w14:textId="3322D0C8" w:rsidR="00D42866" w:rsidRDefault="00936F92" w:rsidP="00936F92">
            <w:r>
              <w:t xml:space="preserve"> </w:t>
            </w:r>
          </w:p>
        </w:tc>
      </w:tr>
    </w:tbl>
    <w:p w14:paraId="69F81B4C" w14:textId="102D771B" w:rsidR="0059714E" w:rsidRDefault="0059714E" w:rsidP="00A70B63">
      <w:pPr>
        <w:pStyle w:val="Heading2"/>
      </w:pPr>
      <w:r>
        <w:t xml:space="preserve">Project Cost and </w:t>
      </w:r>
      <w:r w:rsidR="009F651F">
        <w:t>Milestones</w:t>
      </w:r>
    </w:p>
    <w:p w14:paraId="14336D85" w14:textId="3CA5886D" w:rsidR="009A1BE9" w:rsidRPr="00950649" w:rsidRDefault="0040707E" w:rsidP="001F7AE3">
      <w:pPr>
        <w:spacing w:before="120"/>
      </w:pPr>
      <w:r w:rsidRPr="001F7AE3">
        <w:rPr>
          <w:b/>
        </w:rPr>
        <w:t xml:space="preserve">Project Type: </w:t>
      </w:r>
      <w:r w:rsidR="00DF6E68">
        <w:t>Average</w:t>
      </w:r>
      <w:r w:rsidR="00DF6E68" w:rsidRPr="00FE6864">
        <w:t xml:space="preserve"> Data Analysis/Publication</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15" w:type="dxa"/>
          <w:left w:w="115" w:type="dxa"/>
          <w:bottom w:w="115" w:type="dxa"/>
          <w:right w:w="115" w:type="dxa"/>
        </w:tblCellMar>
        <w:tblLook w:val="04A0" w:firstRow="1" w:lastRow="0" w:firstColumn="1" w:lastColumn="0" w:noHBand="0" w:noVBand="1"/>
      </w:tblPr>
      <w:tblGrid>
        <w:gridCol w:w="9445"/>
        <w:gridCol w:w="1345"/>
      </w:tblGrid>
      <w:tr w:rsidR="006C09DF" w:rsidRPr="006A1732" w14:paraId="53E818AE" w14:textId="77777777" w:rsidTr="00C52D02">
        <w:tc>
          <w:tcPr>
            <w:tcW w:w="9445" w:type="dxa"/>
            <w:shd w:val="clear" w:color="auto" w:fill="F2F2F2" w:themeFill="background1" w:themeFillShade="F2"/>
          </w:tcPr>
          <w:p w14:paraId="583DB77D" w14:textId="288232C0" w:rsidR="006C09DF" w:rsidRPr="006A1732" w:rsidRDefault="006C09DF" w:rsidP="00C3133A">
            <w:pPr>
              <w:rPr>
                <w:b/>
              </w:rPr>
            </w:pPr>
            <w:r w:rsidRPr="006A1732">
              <w:rPr>
                <w:b/>
              </w:rPr>
              <w:t>Billing Phase and Milestone</w:t>
            </w:r>
          </w:p>
        </w:tc>
        <w:tc>
          <w:tcPr>
            <w:tcW w:w="1345" w:type="dxa"/>
            <w:shd w:val="clear" w:color="auto" w:fill="F2F2F2" w:themeFill="background1" w:themeFillShade="F2"/>
          </w:tcPr>
          <w:p w14:paraId="2E5026AA" w14:textId="1B098B9D" w:rsidR="006C09DF" w:rsidRPr="006A1732" w:rsidRDefault="006C09DF" w:rsidP="00C3133A">
            <w:r w:rsidRPr="006A1732">
              <w:rPr>
                <w:b/>
              </w:rPr>
              <w:t>Cost</w:t>
            </w:r>
          </w:p>
        </w:tc>
      </w:tr>
      <w:tr w:rsidR="00260356" w:rsidRPr="006A1732" w14:paraId="0B6451C9" w14:textId="77777777" w:rsidTr="00273C17">
        <w:trPr>
          <w:trHeight w:val="20"/>
        </w:trPr>
        <w:tc>
          <w:tcPr>
            <w:tcW w:w="9445" w:type="dxa"/>
          </w:tcPr>
          <w:p w14:paraId="0A0338FB" w14:textId="525CE812" w:rsidR="00260356" w:rsidRPr="006A1732" w:rsidRDefault="00260356" w:rsidP="00260356">
            <w:r w:rsidRPr="006A1732">
              <w:rPr>
                <w:b/>
              </w:rPr>
              <w:t>Phase 1</w:t>
            </w:r>
            <w:r>
              <w:rPr>
                <w:b/>
              </w:rPr>
              <w:t>: Project Start Up</w:t>
            </w:r>
            <w:r>
              <w:rPr>
                <w:b/>
              </w:rPr>
              <w:br/>
            </w:r>
            <w:r>
              <w:rPr>
                <w:sz w:val="20"/>
                <w:szCs w:val="20"/>
              </w:rPr>
              <w:t>Discuss</w:t>
            </w:r>
            <w:r w:rsidRPr="00E17CE5">
              <w:rPr>
                <w:sz w:val="20"/>
                <w:szCs w:val="20"/>
              </w:rPr>
              <w:t xml:space="preserve"> </w:t>
            </w:r>
            <w:r>
              <w:rPr>
                <w:sz w:val="20"/>
                <w:szCs w:val="20"/>
              </w:rPr>
              <w:t xml:space="preserve">and review project materials, establish timelines, deliverables, and </w:t>
            </w:r>
            <w:r w:rsidRPr="00E17CE5">
              <w:rPr>
                <w:sz w:val="20"/>
                <w:szCs w:val="20"/>
              </w:rPr>
              <w:t>data</w:t>
            </w:r>
            <w:r>
              <w:rPr>
                <w:sz w:val="20"/>
                <w:szCs w:val="20"/>
              </w:rPr>
              <w:t xml:space="preserve"> structures with biostatistician.</w:t>
            </w:r>
          </w:p>
        </w:tc>
        <w:tc>
          <w:tcPr>
            <w:tcW w:w="1345" w:type="dxa"/>
          </w:tcPr>
          <w:p w14:paraId="49382EB2" w14:textId="708D7446" w:rsidR="00260356" w:rsidRPr="006A1732" w:rsidRDefault="00260356" w:rsidP="001B0E2E">
            <w:pPr>
              <w:jc w:val="right"/>
            </w:pPr>
            <w:r>
              <w:t>$</w:t>
            </w:r>
            <w:r w:rsidR="00E24DAA">
              <w:t xml:space="preserve"> 450</w:t>
            </w:r>
            <w:r>
              <w:t xml:space="preserve"> </w:t>
            </w:r>
          </w:p>
        </w:tc>
      </w:tr>
      <w:tr w:rsidR="00260356" w:rsidRPr="006A1732" w14:paraId="608101ED" w14:textId="77777777" w:rsidTr="00EB1BBB">
        <w:trPr>
          <w:trHeight w:val="20"/>
        </w:trPr>
        <w:tc>
          <w:tcPr>
            <w:tcW w:w="9445" w:type="dxa"/>
          </w:tcPr>
          <w:p w14:paraId="5874E4E6" w14:textId="51A06E8D" w:rsidR="00260356" w:rsidRPr="006A1732" w:rsidRDefault="00260356" w:rsidP="00B33E03">
            <w:r>
              <w:rPr>
                <w:b/>
              </w:rPr>
              <w:t>Phase 2: Exploratory Analysis</w:t>
            </w:r>
            <w:r>
              <w:br/>
            </w:r>
            <w:r>
              <w:rPr>
                <w:sz w:val="20"/>
                <w:szCs w:val="20"/>
              </w:rPr>
              <w:t>Establish preliminary analysis dataset, run descriptive statistics and graphics, and create a report.</w:t>
            </w:r>
          </w:p>
        </w:tc>
        <w:tc>
          <w:tcPr>
            <w:tcW w:w="1345" w:type="dxa"/>
          </w:tcPr>
          <w:p w14:paraId="177E39ED" w14:textId="7DB2A42D" w:rsidR="00260356" w:rsidRPr="006A1732" w:rsidRDefault="00260356" w:rsidP="001B0E2E">
            <w:pPr>
              <w:jc w:val="right"/>
            </w:pPr>
            <w:r>
              <w:t>$</w:t>
            </w:r>
            <w:r w:rsidR="00E24DAA">
              <w:t xml:space="preserve"> 3525</w:t>
            </w:r>
            <w:r>
              <w:t xml:space="preserve"> </w:t>
            </w:r>
          </w:p>
        </w:tc>
      </w:tr>
      <w:tr w:rsidR="00260356" w:rsidRPr="006A1732" w14:paraId="7C15E37C" w14:textId="77777777" w:rsidTr="00AE7EC9">
        <w:trPr>
          <w:trHeight w:val="20"/>
        </w:trPr>
        <w:tc>
          <w:tcPr>
            <w:tcW w:w="9445" w:type="dxa"/>
          </w:tcPr>
          <w:p w14:paraId="7ECAF44B" w14:textId="5FAE72D2" w:rsidR="00260356" w:rsidRPr="006A1732" w:rsidRDefault="00260356" w:rsidP="00260356">
            <w:r>
              <w:rPr>
                <w:b/>
              </w:rPr>
              <w:t>Phase 3: Comprehensive Analysis</w:t>
            </w:r>
            <w:r>
              <w:rPr>
                <w:b/>
              </w:rPr>
              <w:br/>
            </w:r>
            <w:r>
              <w:rPr>
                <w:sz w:val="20"/>
                <w:szCs w:val="20"/>
              </w:rPr>
              <w:t>Complete comprehensive analysis and present a report.  Additional changes to analysis are anticipated and part of the Project Complete phase.</w:t>
            </w:r>
          </w:p>
        </w:tc>
        <w:tc>
          <w:tcPr>
            <w:tcW w:w="1345" w:type="dxa"/>
          </w:tcPr>
          <w:p w14:paraId="4B0AE592" w14:textId="49515133" w:rsidR="00260356" w:rsidRPr="006A1732" w:rsidRDefault="00260356" w:rsidP="001B0E2E">
            <w:pPr>
              <w:jc w:val="right"/>
            </w:pPr>
            <w:r>
              <w:t>$</w:t>
            </w:r>
            <w:r w:rsidR="00E24DAA">
              <w:t xml:space="preserve"> 3525</w:t>
            </w:r>
            <w:r>
              <w:t xml:space="preserve"> </w:t>
            </w:r>
          </w:p>
        </w:tc>
      </w:tr>
      <w:tr w:rsidR="00260356" w:rsidRPr="006A1732" w14:paraId="0598ABA9" w14:textId="77777777" w:rsidTr="00556675">
        <w:trPr>
          <w:trHeight w:val="20"/>
        </w:trPr>
        <w:tc>
          <w:tcPr>
            <w:tcW w:w="9445" w:type="dxa"/>
          </w:tcPr>
          <w:p w14:paraId="12F05515" w14:textId="337B268D" w:rsidR="00260356" w:rsidRPr="006A1732" w:rsidRDefault="00260356" w:rsidP="00260356">
            <w:r>
              <w:rPr>
                <w:b/>
              </w:rPr>
              <w:t>Phase 4: Project Complete</w:t>
            </w:r>
            <w:r>
              <w:rPr>
                <w:b/>
              </w:rPr>
              <w:br/>
            </w:r>
            <w:r>
              <w:rPr>
                <w:sz w:val="20"/>
                <w:szCs w:val="20"/>
              </w:rPr>
              <w:t>Complete f</w:t>
            </w:r>
            <w:r w:rsidRPr="00B70215">
              <w:rPr>
                <w:sz w:val="20"/>
                <w:szCs w:val="20"/>
              </w:rPr>
              <w:t>in</w:t>
            </w:r>
            <w:r>
              <w:rPr>
                <w:sz w:val="20"/>
                <w:szCs w:val="20"/>
              </w:rPr>
              <w:t>al analysis and publication quality figures.</w:t>
            </w:r>
          </w:p>
        </w:tc>
        <w:tc>
          <w:tcPr>
            <w:tcW w:w="1345" w:type="dxa"/>
          </w:tcPr>
          <w:p w14:paraId="28FCCEDD" w14:textId="4FA4FF4C" w:rsidR="00260356" w:rsidRPr="006A1732" w:rsidRDefault="00260356" w:rsidP="001B0E2E">
            <w:pPr>
              <w:jc w:val="right"/>
            </w:pPr>
            <w:r>
              <w:t>$</w:t>
            </w:r>
            <w:r w:rsidR="00E24DAA">
              <w:t xml:space="preserve"> 450</w:t>
            </w:r>
            <w:r>
              <w:t xml:space="preserve"> </w:t>
            </w:r>
          </w:p>
        </w:tc>
      </w:tr>
      <w:tr w:rsidR="006C09DF" w:rsidRPr="006A1732" w14:paraId="37B6EDEF" w14:textId="77777777" w:rsidTr="00C82DC0">
        <w:tc>
          <w:tcPr>
            <w:tcW w:w="9445" w:type="dxa"/>
          </w:tcPr>
          <w:p w14:paraId="7BC9EEEE" w14:textId="2077AAF1" w:rsidR="006C09DF" w:rsidRPr="006A1732" w:rsidRDefault="00E749F6" w:rsidP="006C09DF">
            <w:r>
              <w:rPr>
                <w:b/>
              </w:rPr>
              <w:t>Customization:</w:t>
            </w:r>
            <w:r w:rsidRPr="00E749F6">
              <w:t xml:space="preserve"> </w:t>
            </w:r>
          </w:p>
        </w:tc>
        <w:tc>
          <w:tcPr>
            <w:tcW w:w="1345" w:type="dxa"/>
          </w:tcPr>
          <w:p w14:paraId="049087D0" w14:textId="38ADBA1E" w:rsidR="006C09DF" w:rsidRPr="006A1732" w:rsidRDefault="006C09DF" w:rsidP="00846E66">
            <w:pPr>
              <w:jc w:val="right"/>
            </w:pPr>
            <w:r w:rsidRPr="006A1732">
              <w:t>0</w:t>
            </w:r>
          </w:p>
        </w:tc>
      </w:tr>
      <w:tr w:rsidR="006A1732" w:rsidRPr="006A1732" w14:paraId="2AA16AE1" w14:textId="77777777" w:rsidTr="00377F13">
        <w:tc>
          <w:tcPr>
            <w:tcW w:w="9445" w:type="dxa"/>
          </w:tcPr>
          <w:p w14:paraId="6F47A246" w14:textId="1FAC25D2" w:rsidR="006A1732" w:rsidRPr="006A1732" w:rsidRDefault="006A1732" w:rsidP="00846E66">
            <w:pPr>
              <w:jc w:val="right"/>
              <w:rPr>
                <w:b/>
              </w:rPr>
            </w:pPr>
            <w:r w:rsidRPr="006A1732">
              <w:rPr>
                <w:b/>
              </w:rPr>
              <w:t>Total Due</w:t>
            </w:r>
          </w:p>
        </w:tc>
        <w:tc>
          <w:tcPr>
            <w:tcW w:w="1345" w:type="dxa"/>
          </w:tcPr>
          <w:p w14:paraId="3C65DB78" w14:textId="07E2E46C" w:rsidR="006A1732" w:rsidRPr="006A1732" w:rsidRDefault="001B0E2E" w:rsidP="001B0E2E">
            <w:pPr>
              <w:jc w:val="right"/>
              <w:rPr>
                <w:b/>
              </w:rPr>
            </w:pPr>
            <w:r>
              <w:rPr>
                <w:b/>
              </w:rPr>
              <w:t>$</w:t>
            </w:r>
            <w:r w:rsidR="00E24DAA">
              <w:rPr>
                <w:b/>
              </w:rPr>
              <w:t xml:space="preserve"> 7950</w:t>
            </w:r>
            <w:r>
              <w:rPr>
                <w:b/>
              </w:rPr>
              <w:t xml:space="preserve"> </w:t>
            </w:r>
          </w:p>
        </w:tc>
      </w:tr>
    </w:tbl>
    <w:p w14:paraId="006A4166" w14:textId="351D84A7" w:rsidR="009F38F2" w:rsidRDefault="009F38F2" w:rsidP="009F38F2">
      <w:pPr>
        <w:pStyle w:val="Heading2"/>
      </w:pPr>
      <w:r>
        <w:t>Understanding of Project</w:t>
      </w:r>
    </w:p>
    <w:p w14:paraId="48791D73" w14:textId="637F84BD" w:rsidR="009F38F2" w:rsidRDefault="009F38F2" w:rsidP="009F38F2">
      <w:pPr>
        <w:pStyle w:val="Heading3"/>
      </w:pPr>
      <w:r>
        <w:t>Project Description</w:t>
      </w:r>
    </w:p>
    <w:p w14:paraId="696BB159" w14:textId="36DF7644" w:rsidR="009F38F2" w:rsidRDefault="00CC715D" w:rsidP="009F38F2">
      <w:r>
        <w:t>Cardiovascular disease</w:t>
      </w:r>
      <w:r w:rsidR="009F028F">
        <w:t xml:space="preserve"> (CVD)</w:t>
      </w:r>
      <w:r>
        <w:t xml:space="preserve"> is the leading cause of death in the United States, </w:t>
      </w:r>
      <w:r w:rsidR="001A5FAC">
        <w:t xml:space="preserve">and hypertension is a major modifiable risk factor for this disease. </w:t>
      </w:r>
      <w:r w:rsidR="000307BE">
        <w:t xml:space="preserve">Of adults with hypertension, approximately 75% are on some sort of anti-hypertensive, and 50% of those still have uncontrolled blood pressure (BP). </w:t>
      </w:r>
      <w:r w:rsidR="00631214">
        <w:t xml:space="preserve">Generally, patients are prescribed once-daily medication at a standard dose. If their BP is still not controlled after 8 weeks on this regimen, the dose is increased, and their BP is checked again after another 8 weeks. However, many of the standard anti-hypertensives have relatively short half lives and may be more effective if taken twice daily instead of once daily. </w:t>
      </w:r>
      <w:r w:rsidR="00EF47AE">
        <w:t xml:space="preserve">The investigators </w:t>
      </w:r>
      <w:r w:rsidR="00B20ABB">
        <w:t xml:space="preserve">aim to </w:t>
      </w:r>
      <w:r w:rsidR="00202072">
        <w:t>examine</w:t>
      </w:r>
      <w:r w:rsidR="00B20ABB">
        <w:t xml:space="preserve"> the </w:t>
      </w:r>
      <w:r w:rsidR="00202072">
        <w:t xml:space="preserve">safety and efficacy of a twice daily dose of </w:t>
      </w:r>
      <w:r w:rsidR="00202072" w:rsidRPr="00202072">
        <w:t>lisinopril</w:t>
      </w:r>
      <w:r w:rsidR="00202072">
        <w:t xml:space="preserve"> compared to a once daily dose (with the same total daily dose). </w:t>
      </w:r>
    </w:p>
    <w:p w14:paraId="69D4B1F0" w14:textId="29AB9B73" w:rsidR="009F38F2" w:rsidRDefault="009F38F2" w:rsidP="009F38F2">
      <w:pPr>
        <w:pStyle w:val="Heading3"/>
      </w:pPr>
      <w:r>
        <w:lastRenderedPageBreak/>
        <w:t>Timelines/Deadlines</w:t>
      </w:r>
    </w:p>
    <w:p w14:paraId="6497DEA1" w14:textId="27FBFA1D" w:rsidR="00D92CF8" w:rsidRDefault="00D92CF8" w:rsidP="00632DEB">
      <w:pPr>
        <w:pStyle w:val="ListParagraph"/>
        <w:numPr>
          <w:ilvl w:val="0"/>
          <w:numId w:val="2"/>
        </w:numPr>
      </w:pPr>
      <w:r>
        <w:t xml:space="preserve">Abstract Deadline: </w:t>
      </w:r>
      <w:r w:rsidR="00632DEB">
        <w:t>Tuesday, September 25, 2018</w:t>
      </w:r>
    </w:p>
    <w:p w14:paraId="156CFCBD" w14:textId="5CA63872" w:rsidR="009F38F2" w:rsidRDefault="009F38F2" w:rsidP="007B5CA7">
      <w:pPr>
        <w:pStyle w:val="Heading3"/>
      </w:pPr>
      <w:r>
        <w:t>Study Design</w:t>
      </w:r>
    </w:p>
    <w:p w14:paraId="35B21B06" w14:textId="77777777" w:rsidR="00530E2D" w:rsidRDefault="00253326" w:rsidP="007B5CA7">
      <w:r>
        <w:t xml:space="preserve">Data were pulled retrospectively from EHRs, and </w:t>
      </w:r>
      <w:r w:rsidR="00167346">
        <w:t xml:space="preserve">participants were selected based on </w:t>
      </w:r>
      <w:r w:rsidR="00D97F3D">
        <w:t>whether</w:t>
      </w:r>
      <w:r w:rsidR="00167346">
        <w:t xml:space="preserve"> they had been prescribed an increased dose of lisinopril</w:t>
      </w:r>
      <w:r w:rsidR="00D97F3D">
        <w:t xml:space="preserve"> (going from 20 mg to 40 mg)</w:t>
      </w:r>
      <w:r w:rsidR="00167346">
        <w:t xml:space="preserve">. </w:t>
      </w:r>
      <w:r w:rsidR="00D97F3D">
        <w:t>This cohort was then split up based on whether they were prescribed the increased dose once daily or twice daily,</w:t>
      </w:r>
      <w:r w:rsidR="00A03EF2">
        <w:t xml:space="preserve"> which</w:t>
      </w:r>
      <w:r w:rsidR="00D97F3D">
        <w:t xml:space="preserve"> produced two groups of 45 patients. </w:t>
      </w:r>
      <w:r w:rsidR="00CB5960">
        <w:t>Patients on other medication known to affect blood pressure, or who had changes in thei</w:t>
      </w:r>
      <w:r w:rsidR="00E4046C">
        <w:t xml:space="preserve">r medication during the study were excluded. </w:t>
      </w:r>
    </w:p>
    <w:p w14:paraId="73D5F74E" w14:textId="6B54FFBC" w:rsidR="007B5CA7" w:rsidRDefault="009C6F78" w:rsidP="007B5CA7">
      <w:r>
        <w:t xml:space="preserve">Age, sex, race/ethnicity, and BMI were pulled from the </w:t>
      </w:r>
      <w:r w:rsidR="005D09FA">
        <w:t>EH</w:t>
      </w:r>
      <w:r>
        <w:t>R</w:t>
      </w:r>
      <w:r w:rsidR="00272138">
        <w:t xml:space="preserve"> in addition to BP measurements</w:t>
      </w:r>
      <w:r>
        <w:t xml:space="preserve">, as these are potential covariates that need to be controlled for. </w:t>
      </w:r>
    </w:p>
    <w:p w14:paraId="0E9FA4F5" w14:textId="446893E6" w:rsidR="00272138" w:rsidRPr="007B5CA7" w:rsidRDefault="00272138" w:rsidP="007B5CA7">
      <w:r>
        <w:t>Serum creatinine and potassium are also included in the data, as a way of measuring the safety of the drug dosing regimen.</w:t>
      </w:r>
      <w:r w:rsidR="000D3823">
        <w:t xml:space="preserve"> </w:t>
      </w:r>
    </w:p>
    <w:p w14:paraId="11289343" w14:textId="26752154" w:rsidR="009F38F2" w:rsidRDefault="009F38F2" w:rsidP="007B5CA7">
      <w:pPr>
        <w:pStyle w:val="Heading3"/>
      </w:pPr>
      <w:r>
        <w:t>Anticipated Sample Size</w:t>
      </w:r>
    </w:p>
    <w:p w14:paraId="727D532F" w14:textId="06C700DD" w:rsidR="007B5CA7" w:rsidRPr="007B5CA7" w:rsidRDefault="00A03EF2" w:rsidP="007B5CA7">
      <w:r>
        <w:t xml:space="preserve">We anticipate 90 total participants, with 45 in the once daily group and 45 in the twice daily group. </w:t>
      </w:r>
    </w:p>
    <w:p w14:paraId="2CEA776A" w14:textId="77777777" w:rsidR="00C45C97" w:rsidRDefault="00C45C97" w:rsidP="00C45C97">
      <w:pPr>
        <w:pStyle w:val="Heading3"/>
      </w:pPr>
      <w:r>
        <w:t>Descriptive Statistics Desired</w:t>
      </w:r>
    </w:p>
    <w:p w14:paraId="39F3FB05" w14:textId="10904A0D" w:rsidR="00C45C97" w:rsidRDefault="00CB4131" w:rsidP="00C45C97">
      <w:r>
        <w:t xml:space="preserve">A standard table 1, showing the demographics of the two groups. </w:t>
      </w:r>
      <w:r w:rsidR="0076767F">
        <w:t xml:space="preserve">We will also include </w:t>
      </w:r>
      <w:r w:rsidR="00165676">
        <w:t xml:space="preserve">comparisons of </w:t>
      </w:r>
      <w:r w:rsidR="00E44E21">
        <w:t xml:space="preserve">BP measurements before and after the dose increase for both groups. </w:t>
      </w:r>
      <w:r w:rsidR="00996B8A">
        <w:t xml:space="preserve">Change in BP will be compared in terms of raw change (mmHg), and proportion of patients achieving BP control based on the latest clinical guidelines. </w:t>
      </w:r>
    </w:p>
    <w:p w14:paraId="5FF1BCAA" w14:textId="77777777" w:rsidR="00C45C97" w:rsidRDefault="00C45C97" w:rsidP="00C45C97">
      <w:pPr>
        <w:pStyle w:val="Heading3"/>
      </w:pPr>
      <w:r>
        <w:t>Hypothesis</w:t>
      </w:r>
    </w:p>
    <w:p w14:paraId="3D24F246" w14:textId="2C16B661" w:rsidR="00C45C97" w:rsidRPr="00754006" w:rsidRDefault="00C45C97" w:rsidP="00754006">
      <w:pPr>
        <w:spacing w:before="240" w:after="0"/>
        <w:rPr>
          <w:b/>
          <w:bCs/>
          <w:sz w:val="26"/>
          <w:szCs w:val="26"/>
        </w:rPr>
      </w:pPr>
      <w:r w:rsidRPr="009E5CF1">
        <w:rPr>
          <w:rStyle w:val="Strong"/>
          <w:sz w:val="26"/>
          <w:szCs w:val="26"/>
        </w:rPr>
        <w:t>Primary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15" w:type="dxa"/>
          <w:left w:w="115" w:type="dxa"/>
          <w:bottom w:w="115" w:type="dxa"/>
          <w:right w:w="115" w:type="dxa"/>
        </w:tblCellMar>
        <w:tblLook w:val="04A0" w:firstRow="1" w:lastRow="0" w:firstColumn="1" w:lastColumn="0" w:noHBand="0" w:noVBand="1"/>
      </w:tblPr>
      <w:tblGrid>
        <w:gridCol w:w="2515"/>
        <w:gridCol w:w="8275"/>
      </w:tblGrid>
      <w:tr w:rsidR="00C45C97" w14:paraId="09D44782" w14:textId="77777777" w:rsidTr="00E4696E">
        <w:tc>
          <w:tcPr>
            <w:tcW w:w="2515" w:type="dxa"/>
            <w:shd w:val="clear" w:color="auto" w:fill="F2F2F2" w:themeFill="background1" w:themeFillShade="F2"/>
          </w:tcPr>
          <w:p w14:paraId="4D6F4670" w14:textId="77777777" w:rsidR="00C45C97" w:rsidRPr="007B5CA7" w:rsidRDefault="00C45C97" w:rsidP="00E4696E">
            <w:pPr>
              <w:rPr>
                <w:b/>
              </w:rPr>
            </w:pPr>
            <w:r w:rsidRPr="007B5CA7">
              <w:rPr>
                <w:b/>
              </w:rPr>
              <w:t>Hypothesis</w:t>
            </w:r>
          </w:p>
        </w:tc>
        <w:tc>
          <w:tcPr>
            <w:tcW w:w="8275" w:type="dxa"/>
          </w:tcPr>
          <w:p w14:paraId="40EE1CD1" w14:textId="2A136EB0" w:rsidR="00C45C97" w:rsidRDefault="00CB4131" w:rsidP="00E4696E">
            <w:r>
              <w:t>The twice-daily group will demonstrate a greater improvement in BP compared to the once-daily group.</w:t>
            </w:r>
          </w:p>
        </w:tc>
      </w:tr>
      <w:tr w:rsidR="00C45C97" w14:paraId="26C0166E" w14:textId="77777777" w:rsidTr="00E4696E">
        <w:tc>
          <w:tcPr>
            <w:tcW w:w="2515" w:type="dxa"/>
            <w:shd w:val="clear" w:color="auto" w:fill="F2F2F2" w:themeFill="background1" w:themeFillShade="F2"/>
          </w:tcPr>
          <w:p w14:paraId="2FC807F1" w14:textId="77777777" w:rsidR="00C45C97" w:rsidRPr="007B5CA7" w:rsidRDefault="00C45C97" w:rsidP="00E4696E">
            <w:pPr>
              <w:rPr>
                <w:b/>
              </w:rPr>
            </w:pPr>
            <w:r w:rsidRPr="007B5CA7">
              <w:rPr>
                <w:b/>
              </w:rPr>
              <w:t>Outcome(s)</w:t>
            </w:r>
          </w:p>
        </w:tc>
        <w:tc>
          <w:tcPr>
            <w:tcW w:w="8275" w:type="dxa"/>
          </w:tcPr>
          <w:p w14:paraId="27E5677E" w14:textId="17282C2C" w:rsidR="00C45C97" w:rsidRDefault="00CB4131" w:rsidP="00E4696E">
            <w:r>
              <w:t>The change in blood pressure (systolic and diastolic) between the two groups</w:t>
            </w:r>
          </w:p>
        </w:tc>
      </w:tr>
      <w:tr w:rsidR="00C45C97" w14:paraId="1D1BF8DF" w14:textId="77777777" w:rsidTr="00E4696E">
        <w:tc>
          <w:tcPr>
            <w:tcW w:w="2515" w:type="dxa"/>
            <w:shd w:val="clear" w:color="auto" w:fill="F2F2F2" w:themeFill="background1" w:themeFillShade="F2"/>
          </w:tcPr>
          <w:p w14:paraId="322942A4" w14:textId="77777777" w:rsidR="00C45C97" w:rsidRPr="007B5CA7" w:rsidRDefault="00C45C97" w:rsidP="00E4696E">
            <w:pPr>
              <w:rPr>
                <w:b/>
              </w:rPr>
            </w:pPr>
            <w:r w:rsidRPr="007B5CA7">
              <w:rPr>
                <w:b/>
              </w:rPr>
              <w:t>Explanatory Variable</w:t>
            </w:r>
          </w:p>
        </w:tc>
        <w:tc>
          <w:tcPr>
            <w:tcW w:w="8275" w:type="dxa"/>
          </w:tcPr>
          <w:p w14:paraId="73EE6EC2" w14:textId="5859A926" w:rsidR="00C45C97" w:rsidRDefault="00CB4131" w:rsidP="00E4696E">
            <w:r>
              <w:t>SBP and DBP</w:t>
            </w:r>
          </w:p>
        </w:tc>
      </w:tr>
    </w:tbl>
    <w:p w14:paraId="5F088C8F" w14:textId="7E5F7FF3" w:rsidR="00C45C97" w:rsidRPr="00754006" w:rsidRDefault="00C45C97" w:rsidP="00754006">
      <w:pPr>
        <w:spacing w:before="240" w:after="0"/>
        <w:rPr>
          <w:b/>
          <w:bCs/>
          <w:sz w:val="26"/>
          <w:szCs w:val="26"/>
        </w:rPr>
      </w:pPr>
      <w:r>
        <w:rPr>
          <w:rStyle w:val="Strong"/>
          <w:sz w:val="26"/>
          <w:szCs w:val="26"/>
        </w:rPr>
        <w:t>Second</w:t>
      </w:r>
      <w:r w:rsidRPr="009E5CF1">
        <w:rPr>
          <w:rStyle w:val="Strong"/>
          <w:sz w:val="26"/>
          <w:szCs w:val="26"/>
        </w:rPr>
        <w:t>ary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15" w:type="dxa"/>
          <w:left w:w="115" w:type="dxa"/>
          <w:bottom w:w="115" w:type="dxa"/>
          <w:right w:w="115" w:type="dxa"/>
        </w:tblCellMar>
        <w:tblLook w:val="04A0" w:firstRow="1" w:lastRow="0" w:firstColumn="1" w:lastColumn="0" w:noHBand="0" w:noVBand="1"/>
      </w:tblPr>
      <w:tblGrid>
        <w:gridCol w:w="2515"/>
        <w:gridCol w:w="8275"/>
      </w:tblGrid>
      <w:tr w:rsidR="00C45C97" w14:paraId="4EAAA0D5" w14:textId="77777777" w:rsidTr="00E4696E">
        <w:tc>
          <w:tcPr>
            <w:tcW w:w="2515" w:type="dxa"/>
            <w:shd w:val="clear" w:color="auto" w:fill="F2F2F2" w:themeFill="background1" w:themeFillShade="F2"/>
          </w:tcPr>
          <w:p w14:paraId="66053C36" w14:textId="77777777" w:rsidR="00C45C97" w:rsidRPr="007B5CA7" w:rsidRDefault="00C45C97" w:rsidP="00E4696E">
            <w:pPr>
              <w:rPr>
                <w:b/>
              </w:rPr>
            </w:pPr>
            <w:r w:rsidRPr="007B5CA7">
              <w:rPr>
                <w:b/>
              </w:rPr>
              <w:t>Hypothesis</w:t>
            </w:r>
          </w:p>
        </w:tc>
        <w:tc>
          <w:tcPr>
            <w:tcW w:w="8275" w:type="dxa"/>
          </w:tcPr>
          <w:p w14:paraId="71E3E3E4" w14:textId="21CDCD73" w:rsidR="00C45C97" w:rsidRDefault="005C2885" w:rsidP="00E4696E">
            <w:r>
              <w:t xml:space="preserve">The </w:t>
            </w:r>
            <w:r w:rsidR="00D3653E">
              <w:t xml:space="preserve">twice-daily group will have lower or less of an increase in serum creatinine and potassium </w:t>
            </w:r>
            <w:r w:rsidR="00BC59B2">
              <w:t>compared to</w:t>
            </w:r>
            <w:bookmarkStart w:id="0" w:name="_GoBack"/>
            <w:bookmarkEnd w:id="0"/>
            <w:r w:rsidR="00D3653E">
              <w:t xml:space="preserve"> the once-daily group. </w:t>
            </w:r>
          </w:p>
        </w:tc>
      </w:tr>
      <w:tr w:rsidR="00C45C97" w14:paraId="54320C67" w14:textId="77777777" w:rsidTr="00E4696E">
        <w:tc>
          <w:tcPr>
            <w:tcW w:w="2515" w:type="dxa"/>
            <w:shd w:val="clear" w:color="auto" w:fill="F2F2F2" w:themeFill="background1" w:themeFillShade="F2"/>
          </w:tcPr>
          <w:p w14:paraId="02E8E0BA" w14:textId="77777777" w:rsidR="00C45C97" w:rsidRPr="007B5CA7" w:rsidRDefault="00C45C97" w:rsidP="00E4696E">
            <w:pPr>
              <w:rPr>
                <w:b/>
              </w:rPr>
            </w:pPr>
            <w:r w:rsidRPr="007B5CA7">
              <w:rPr>
                <w:b/>
              </w:rPr>
              <w:t>Outcome(s)</w:t>
            </w:r>
          </w:p>
        </w:tc>
        <w:tc>
          <w:tcPr>
            <w:tcW w:w="8275" w:type="dxa"/>
          </w:tcPr>
          <w:p w14:paraId="3B01EEC7" w14:textId="78957AFE" w:rsidR="00C45C97" w:rsidRDefault="00DD7A22" w:rsidP="00E4696E">
            <w:r>
              <w:t>Change in serum creatinine and potassium between the two groups</w:t>
            </w:r>
          </w:p>
        </w:tc>
      </w:tr>
      <w:tr w:rsidR="00C45C97" w14:paraId="61D697E5" w14:textId="77777777" w:rsidTr="00E4696E">
        <w:tc>
          <w:tcPr>
            <w:tcW w:w="2515" w:type="dxa"/>
            <w:shd w:val="clear" w:color="auto" w:fill="F2F2F2" w:themeFill="background1" w:themeFillShade="F2"/>
          </w:tcPr>
          <w:p w14:paraId="1F12C089" w14:textId="77777777" w:rsidR="00C45C97" w:rsidRPr="007B5CA7" w:rsidRDefault="00C45C97" w:rsidP="00E4696E">
            <w:pPr>
              <w:rPr>
                <w:b/>
              </w:rPr>
            </w:pPr>
            <w:r w:rsidRPr="007B5CA7">
              <w:rPr>
                <w:b/>
              </w:rPr>
              <w:t>Explanatory Variable</w:t>
            </w:r>
          </w:p>
        </w:tc>
        <w:tc>
          <w:tcPr>
            <w:tcW w:w="8275" w:type="dxa"/>
          </w:tcPr>
          <w:p w14:paraId="2D70F793" w14:textId="121E41DA" w:rsidR="00C45C97" w:rsidRDefault="00DD7A22" w:rsidP="00E4696E">
            <w:r>
              <w:t>Creatinine and Potassium</w:t>
            </w:r>
          </w:p>
        </w:tc>
      </w:tr>
    </w:tbl>
    <w:p w14:paraId="64FD01E5" w14:textId="30BC8FE1" w:rsidR="00C45C97" w:rsidRPr="00754006" w:rsidRDefault="00C45C97" w:rsidP="00754006">
      <w:pPr>
        <w:spacing w:before="240" w:after="0"/>
        <w:rPr>
          <w:b/>
          <w:bCs/>
          <w:sz w:val="26"/>
          <w:szCs w:val="26"/>
        </w:rPr>
      </w:pPr>
      <w:r>
        <w:rPr>
          <w:rStyle w:val="Strong"/>
          <w:sz w:val="26"/>
          <w:szCs w:val="26"/>
        </w:rPr>
        <w:t>Terti</w:t>
      </w:r>
      <w:r w:rsidRPr="009E5CF1">
        <w:rPr>
          <w:rStyle w:val="Strong"/>
          <w:sz w:val="26"/>
          <w:szCs w:val="26"/>
        </w:rPr>
        <w:t>ary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15" w:type="dxa"/>
          <w:left w:w="115" w:type="dxa"/>
          <w:bottom w:w="115" w:type="dxa"/>
          <w:right w:w="115" w:type="dxa"/>
        </w:tblCellMar>
        <w:tblLook w:val="04A0" w:firstRow="1" w:lastRow="0" w:firstColumn="1" w:lastColumn="0" w:noHBand="0" w:noVBand="1"/>
      </w:tblPr>
      <w:tblGrid>
        <w:gridCol w:w="2515"/>
        <w:gridCol w:w="8275"/>
      </w:tblGrid>
      <w:tr w:rsidR="00C45C97" w14:paraId="1678C60C" w14:textId="77777777" w:rsidTr="00E4696E">
        <w:tc>
          <w:tcPr>
            <w:tcW w:w="2515" w:type="dxa"/>
            <w:shd w:val="clear" w:color="auto" w:fill="F2F2F2" w:themeFill="background1" w:themeFillShade="F2"/>
          </w:tcPr>
          <w:p w14:paraId="593E8D0D" w14:textId="77777777" w:rsidR="00C45C97" w:rsidRPr="007B5CA7" w:rsidRDefault="00C45C97" w:rsidP="00E4696E">
            <w:pPr>
              <w:rPr>
                <w:b/>
              </w:rPr>
            </w:pPr>
            <w:r w:rsidRPr="007B5CA7">
              <w:rPr>
                <w:b/>
              </w:rPr>
              <w:t>Hypothesis</w:t>
            </w:r>
          </w:p>
        </w:tc>
        <w:tc>
          <w:tcPr>
            <w:tcW w:w="8275" w:type="dxa"/>
          </w:tcPr>
          <w:p w14:paraId="4FB60F60" w14:textId="5FF83295" w:rsidR="00C45C97" w:rsidRDefault="006A4DC0" w:rsidP="00E4696E">
            <w:r>
              <w:t>More twice-daily patients will achieve BP control.</w:t>
            </w:r>
          </w:p>
        </w:tc>
      </w:tr>
      <w:tr w:rsidR="00C45C97" w14:paraId="4E79FE99" w14:textId="77777777" w:rsidTr="00E4696E">
        <w:tc>
          <w:tcPr>
            <w:tcW w:w="2515" w:type="dxa"/>
            <w:shd w:val="clear" w:color="auto" w:fill="F2F2F2" w:themeFill="background1" w:themeFillShade="F2"/>
          </w:tcPr>
          <w:p w14:paraId="32526A9D" w14:textId="77777777" w:rsidR="00C45C97" w:rsidRPr="007B5CA7" w:rsidRDefault="00C45C97" w:rsidP="00E4696E">
            <w:pPr>
              <w:rPr>
                <w:b/>
              </w:rPr>
            </w:pPr>
            <w:r w:rsidRPr="007B5CA7">
              <w:rPr>
                <w:b/>
              </w:rPr>
              <w:lastRenderedPageBreak/>
              <w:t>Outcome(s)</w:t>
            </w:r>
          </w:p>
        </w:tc>
        <w:tc>
          <w:tcPr>
            <w:tcW w:w="8275" w:type="dxa"/>
          </w:tcPr>
          <w:p w14:paraId="1ED0E1FA" w14:textId="47D903C8" w:rsidR="00C45C97" w:rsidRDefault="006A4DC0" w:rsidP="00E4696E">
            <w:r>
              <w:t>Number of patients in each group below optimal BP cut points (130/90).</w:t>
            </w:r>
          </w:p>
        </w:tc>
      </w:tr>
      <w:tr w:rsidR="00C45C97" w14:paraId="509B8F25" w14:textId="77777777" w:rsidTr="00E4696E">
        <w:tc>
          <w:tcPr>
            <w:tcW w:w="2515" w:type="dxa"/>
            <w:shd w:val="clear" w:color="auto" w:fill="F2F2F2" w:themeFill="background1" w:themeFillShade="F2"/>
          </w:tcPr>
          <w:p w14:paraId="39291810" w14:textId="77777777" w:rsidR="00C45C97" w:rsidRPr="007B5CA7" w:rsidRDefault="00C45C97" w:rsidP="00E4696E">
            <w:pPr>
              <w:rPr>
                <w:b/>
              </w:rPr>
            </w:pPr>
            <w:r w:rsidRPr="007B5CA7">
              <w:rPr>
                <w:b/>
              </w:rPr>
              <w:t>Explanatory Variable</w:t>
            </w:r>
          </w:p>
        </w:tc>
        <w:tc>
          <w:tcPr>
            <w:tcW w:w="8275" w:type="dxa"/>
          </w:tcPr>
          <w:p w14:paraId="788CE78A" w14:textId="1BB18251" w:rsidR="00C45C97" w:rsidRDefault="00B82B57" w:rsidP="00E4696E">
            <w:r>
              <w:t xml:space="preserve">SBP and DBP </w:t>
            </w:r>
          </w:p>
        </w:tc>
      </w:tr>
    </w:tbl>
    <w:p w14:paraId="7FF90E22" w14:textId="06D1982F" w:rsidR="00C45C97" w:rsidRDefault="00C45C97" w:rsidP="00723C78">
      <w:pPr>
        <w:pStyle w:val="Heading3"/>
      </w:pPr>
      <w:r>
        <w:t>Additional Notes</w:t>
      </w:r>
    </w:p>
    <w:p w14:paraId="0405E773" w14:textId="77777777" w:rsidR="006247ED" w:rsidRDefault="006247ED" w:rsidP="00C45C97"/>
    <w:p w14:paraId="1497F824" w14:textId="77777777" w:rsidR="00964A4E" w:rsidRPr="00964A4E" w:rsidRDefault="00964A4E" w:rsidP="00964A4E">
      <w:pPr>
        <w:keepNext/>
        <w:keepLines/>
        <w:pBdr>
          <w:bottom w:val="single" w:sz="8" w:space="1" w:color="auto"/>
        </w:pBdr>
        <w:spacing w:before="240" w:after="0"/>
        <w:outlineLvl w:val="1"/>
        <w:rPr>
          <w:rFonts w:ascii="Arial" w:eastAsiaTheme="majorEastAsia" w:hAnsi="Arial" w:cstheme="majorBidi"/>
          <w:b/>
          <w:color w:val="171717" w:themeColor="background2" w:themeShade="1A"/>
          <w:sz w:val="26"/>
          <w:szCs w:val="26"/>
        </w:rPr>
      </w:pPr>
      <w:r w:rsidRPr="00964A4E">
        <w:rPr>
          <w:rFonts w:ascii="Arial" w:eastAsiaTheme="majorEastAsia" w:hAnsi="Arial" w:cstheme="majorBidi"/>
          <w:b/>
          <w:color w:val="171717" w:themeColor="background2" w:themeShade="1A"/>
          <w:sz w:val="26"/>
          <w:szCs w:val="26"/>
        </w:rPr>
        <w:t>Approval of Agreement</w:t>
      </w:r>
    </w:p>
    <w:p w14:paraId="1539C42B" w14:textId="77777777" w:rsidR="00B75B3D" w:rsidRPr="00964A4E" w:rsidRDefault="00B75B3D" w:rsidP="00B75B3D">
      <w:r w:rsidRPr="00964A4E">
        <w:t>By approving this Scope of Work Agreement, you are acknowledging that you have read and agree to the project costs</w:t>
      </w:r>
      <w:r>
        <w:t xml:space="preserve"> and milestones, </w:t>
      </w:r>
      <w:r w:rsidRPr="00964A4E">
        <w:t xml:space="preserve">timelines, project details, and terms and conditions outlined in this document. </w:t>
      </w:r>
    </w:p>
    <w:p w14:paraId="783508BE" w14:textId="745E06D6" w:rsidR="0057201D" w:rsidRPr="00E57AC1" w:rsidRDefault="0057201D" w:rsidP="0057201D">
      <w:pPr>
        <w:rPr>
          <w:b/>
        </w:rPr>
      </w:pPr>
      <w:r w:rsidRPr="00964A4E">
        <w:rPr>
          <w:noProof/>
        </w:rPr>
        <mc:AlternateContent>
          <mc:Choice Requires="wps">
            <w:drawing>
              <wp:anchor distT="0" distB="0" distL="114300" distR="114300" simplePos="0" relativeHeight="251659264" behindDoc="0" locked="0" layoutInCell="1" allowOverlap="1" wp14:anchorId="6761FD60" wp14:editId="3542360D">
                <wp:simplePos x="0" y="0"/>
                <wp:positionH relativeFrom="margin">
                  <wp:align>left</wp:align>
                </wp:positionH>
                <wp:positionV relativeFrom="paragraph">
                  <wp:posOffset>287655</wp:posOffset>
                </wp:positionV>
                <wp:extent cx="2809875" cy="428625"/>
                <wp:effectExtent l="0" t="0" r="28575" b="28575"/>
                <wp:wrapNone/>
                <wp:docPr id="5" name="Rounded Rectangle 5">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2809875" cy="428625"/>
                        </a:xfrm>
                        <a:prstGeom prst="roundRect">
                          <a:avLst/>
                        </a:prstGeom>
                        <a:gradFill rotWithShape="1">
                          <a:gsLst>
                            <a:gs pos="0">
                              <a:srgbClr val="4472C4">
                                <a:lumMod val="110000"/>
                                <a:satMod val="105000"/>
                                <a:tint val="67000"/>
                              </a:srgbClr>
                            </a:gs>
                            <a:gs pos="50000">
                              <a:srgbClr val="4472C4">
                                <a:lumMod val="105000"/>
                                <a:satMod val="103000"/>
                                <a:tint val="73000"/>
                              </a:srgbClr>
                            </a:gs>
                            <a:gs pos="100000">
                              <a:srgbClr val="4472C4">
                                <a:lumMod val="105000"/>
                                <a:satMod val="109000"/>
                                <a:tint val="81000"/>
                              </a:srgbClr>
                            </a:gs>
                          </a:gsLst>
                          <a:lin ang="5400000" scaled="0"/>
                        </a:gradFill>
                        <a:ln w="6350" cap="flat" cmpd="sng" algn="ctr">
                          <a:solidFill>
                            <a:srgbClr val="4472C4"/>
                          </a:solidFill>
                          <a:prstDash val="solid"/>
                          <a:miter lim="800000"/>
                        </a:ln>
                        <a:effectLst/>
                      </wps:spPr>
                      <wps:txbx>
                        <w:txbxContent>
                          <w:p w14:paraId="1200D16E" w14:textId="06C03C62" w:rsidR="0057201D" w:rsidRPr="003D7524" w:rsidRDefault="0057201D" w:rsidP="0057201D">
                            <w:pPr>
                              <w:spacing w:before="80" w:after="80"/>
                              <w:rPr>
                                <w:b/>
                                <w:sz w:val="24"/>
                                <w:szCs w:val="24"/>
                              </w:rPr>
                            </w:pPr>
                            <w:r w:rsidRPr="0059158E">
                              <w:rPr>
                                <w:b/>
                                <w:sz w:val="24"/>
                                <w:szCs w:val="24"/>
                              </w:rPr>
                              <w:t xml:space="preserve">Approve Scope of Work </w:t>
                            </w:r>
                            <w:r>
                              <w:rPr>
                                <w:b/>
                                <w:sz w:val="24"/>
                                <w:szCs w:val="24"/>
                              </w:rPr>
                              <w:t>Agreement</w:t>
                            </w:r>
                            <w:r w:rsidRPr="0059158E">
                              <w:rPr>
                                <w:b/>
                                <w:sz w:val="24"/>
                                <w:szCs w:val="24"/>
                              </w:rPr>
                              <w:t xml:space="preserve"> </w:t>
                            </w:r>
                            <w:r w:rsidRPr="0059158E">
                              <w:rPr>
                                <w:b/>
                                <w:sz w:val="24"/>
                                <w:szCs w:val="24"/>
                              </w:rPr>
                              <w:sym w:font="Webdings" w:char="F034"/>
                            </w:r>
                            <w:hyperlink r:id="rId13" w:history="1">
                              <w:r w:rsidRPr="0059158E">
                                <w:rPr>
                                  <w:rStyle w:val="Hyperlink"/>
                                  <w:b/>
                                  <w:sz w:val="24"/>
                                  <w:szCs w:val="24"/>
                                </w:rPr>
                                <w:t>https://forms.ucdenver.edu/secure/cida_biostatistics_consulting_sow_approval</w:t>
                              </w:r>
                            </w:hyperlink>
                          </w:p>
                          <w:p w14:paraId="446F2D98" w14:textId="77777777" w:rsidR="0057201D" w:rsidRDefault="0057201D" w:rsidP="005720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61FD60" id="Rounded Rectangle 5" o:spid="_x0000_s1026" href="https://forms.ucdenver.edu/secure/cida_biostatistics_consulting_sow_approval" style="position:absolute;margin-left:0;margin-top:22.65pt;width:221.25pt;height:33.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" o:button="t" fillcolor="#a8b7df" strokecolor="#4472c4" strokeweight=".5pt">
                <v:fill color2="#879ed7" rotate="t" o:detectmouseclick="t" colors="0 #a8b7df;.5 #9aabd9;1 #879ed7" focus="100%" type="gradient">
                  <o:fill v:ext="view" type="gradientUnscaled"/>
                </v:fill>
                <v:stroke joinstyle="miter"/>
                <v:textbox>
                  <w:txbxContent>
                    <w:p w14:paraId="1200D16E" w14:textId="06C03C62" w:rsidR="0057201D" w:rsidRPr="003D7524" w:rsidRDefault="0057201D" w:rsidP="0057201D">
                      <w:pPr>
                        <w:spacing w:before="80" w:after="80"/>
                        <w:rPr>
                          <w:b/>
                          <w:sz w:val="24"/>
                          <w:szCs w:val="24"/>
                        </w:rPr>
                      </w:pPr>
                      <w:r w:rsidRPr="0059158E">
                        <w:rPr>
                          <w:b/>
                          <w:sz w:val="24"/>
                          <w:szCs w:val="24"/>
                        </w:rPr>
                        <w:t xml:space="preserve">Approve Scope of Work </w:t>
                      </w:r>
                      <w:r>
                        <w:rPr>
                          <w:b/>
                          <w:sz w:val="24"/>
                          <w:szCs w:val="24"/>
                        </w:rPr>
                        <w:t>Agreement</w:t>
                      </w:r>
                      <w:r w:rsidRPr="0059158E">
                        <w:rPr>
                          <w:b/>
                          <w:sz w:val="24"/>
                          <w:szCs w:val="24"/>
                        </w:rPr>
                        <w:t xml:space="preserve"> </w:t>
                      </w:r>
                      <w:r w:rsidRPr="0059158E">
                        <w:rPr>
                          <w:b/>
                          <w:sz w:val="24"/>
                          <w:szCs w:val="24"/>
                        </w:rPr>
                        <w:sym w:font="Webdings" w:char="F034"/>
                      </w:r>
                      <w:hyperlink r:id="rId14" w:history="1">
                        <w:r w:rsidRPr="0059158E">
                          <w:rPr>
                            <w:rStyle w:val="Hyperlink"/>
                            <w:b/>
                            <w:sz w:val="24"/>
                            <w:szCs w:val="24"/>
                          </w:rPr>
                          <w:t>https://forms.ucdenver.edu/secure/cida_biostatistics_consulting_sow_approval</w:t>
                        </w:r>
                      </w:hyperlink>
                    </w:p>
                    <w:p w14:paraId="446F2D98" w14:textId="77777777" w:rsidR="0057201D" w:rsidRDefault="0057201D" w:rsidP="0057201D">
                      <w:pPr>
                        <w:jc w:val="center"/>
                      </w:pPr>
                    </w:p>
                  </w:txbxContent>
                </v:textbox>
                <w10:wrap anchorx="margin"/>
              </v:roundrect>
            </w:pict>
          </mc:Fallback>
        </mc:AlternateContent>
      </w:r>
      <w:r w:rsidRPr="00E57AC1">
        <w:rPr>
          <w:b/>
        </w:rPr>
        <w:t xml:space="preserve">To approve this Scope of Work </w:t>
      </w:r>
      <w:r w:rsidR="003F3707">
        <w:rPr>
          <w:b/>
        </w:rPr>
        <w:t>Agreement</w:t>
      </w:r>
      <w:r w:rsidRPr="00E57AC1">
        <w:rPr>
          <w:b/>
        </w:rPr>
        <w:t xml:space="preserve"> click the button below.</w:t>
      </w:r>
    </w:p>
    <w:p w14:paraId="259D49C6" w14:textId="77777777" w:rsidR="0057201D" w:rsidRPr="00964A4E" w:rsidRDefault="0057201D" w:rsidP="0057201D"/>
    <w:p w14:paraId="1E240860" w14:textId="77777777" w:rsidR="0057201D" w:rsidRPr="00964A4E" w:rsidRDefault="0057201D" w:rsidP="0057201D"/>
    <w:p w14:paraId="2A554DB6" w14:textId="482052F6" w:rsidR="00964A4E" w:rsidRPr="00964A4E" w:rsidRDefault="0057201D" w:rsidP="0057201D">
      <w:r w:rsidRPr="00964A4E">
        <w:rPr>
          <w:sz w:val="18"/>
          <w:szCs w:val="18"/>
        </w:rPr>
        <w:t xml:space="preserve"> </w:t>
      </w:r>
      <w:r w:rsidR="00964A4E" w:rsidRPr="00964A4E">
        <w:rPr>
          <w:sz w:val="18"/>
          <w:szCs w:val="18"/>
        </w:rPr>
        <w:t xml:space="preserve">(If you don’t agree with this Scope of Work Agreement or would like to withdraw your request for </w:t>
      </w:r>
      <w:r w:rsidR="002A17F4">
        <w:rPr>
          <w:sz w:val="18"/>
          <w:szCs w:val="18"/>
        </w:rPr>
        <w:t>CIDA</w:t>
      </w:r>
      <w:r w:rsidR="00964A4E" w:rsidRPr="00964A4E">
        <w:rPr>
          <w:sz w:val="18"/>
          <w:szCs w:val="18"/>
        </w:rPr>
        <w:t xml:space="preserve"> services, please send us an email to </w:t>
      </w:r>
      <w:hyperlink r:id="rId15" w:history="1">
        <w:r w:rsidR="00E24DAA" w:rsidRPr="0011258A">
          <w:rPr>
            <w:rStyle w:val="Hyperlink"/>
            <w:sz w:val="18"/>
            <w:szCs w:val="18"/>
          </w:rPr>
          <w:t>cida@ucdenver.edu</w:t>
        </w:r>
      </w:hyperlink>
      <w:r w:rsidR="00964A4E" w:rsidRPr="00964A4E">
        <w:rPr>
          <w:sz w:val="18"/>
          <w:szCs w:val="18"/>
        </w:rPr>
        <w:t xml:space="preserve"> with a brief explanation.)</w:t>
      </w:r>
    </w:p>
    <w:p w14:paraId="6F8B8A14" w14:textId="573D0A50" w:rsidR="00BC1BC3" w:rsidRDefault="00BC1BC3" w:rsidP="00BC1BC3">
      <w:pPr>
        <w:pStyle w:val="Heading2"/>
      </w:pPr>
      <w:r>
        <w:t>Terms and Conditions</w:t>
      </w:r>
    </w:p>
    <w:p w14:paraId="63DCA812" w14:textId="05D202CC" w:rsidR="00BC1BC3" w:rsidRDefault="00BC1BC3" w:rsidP="00BC1BC3">
      <w:pPr>
        <w:pStyle w:val="Heading3"/>
      </w:pPr>
      <w:r>
        <w:t xml:space="preserve">Clean </w:t>
      </w:r>
      <w:r w:rsidR="00575A54">
        <w:t>d</w:t>
      </w:r>
      <w:r>
        <w:t xml:space="preserve">ata </w:t>
      </w:r>
      <w:r w:rsidR="00575A54">
        <w:t>r</w:t>
      </w:r>
      <w:r>
        <w:t xml:space="preserve">equirements </w:t>
      </w:r>
      <w:r w:rsidR="00575A54">
        <w:t>-</w:t>
      </w:r>
      <w:r>
        <w:t xml:space="preserve"> </w:t>
      </w:r>
      <w:r w:rsidR="00575A54">
        <w:t>ready for a</w:t>
      </w:r>
      <w:r>
        <w:t>nalysis</w:t>
      </w:r>
    </w:p>
    <w:p w14:paraId="2F85BB52" w14:textId="3AA258F8" w:rsidR="00BC1BC3" w:rsidRDefault="00BC1BC3" w:rsidP="00BC1BC3">
      <w:r w:rsidRPr="00BC1BC3">
        <w:t xml:space="preserve">The data are assumed to be cleaned and ready for analyses unless otherwise agreed upon, and a data dictionary should be provided to the analyst.  We strongly encourage the use of </w:t>
      </w:r>
      <w:hyperlink r:id="rId16" w:history="1">
        <w:r w:rsidRPr="00BC1BC3">
          <w:rPr>
            <w:rStyle w:val="Hyperlink"/>
          </w:rPr>
          <w:t>REDCap</w:t>
        </w:r>
      </w:hyperlink>
      <w:r w:rsidRPr="00BC1BC3">
        <w:t xml:space="preserve"> as a data collection and management tool.</w:t>
      </w:r>
    </w:p>
    <w:p w14:paraId="639584E9" w14:textId="7FDBE1A7" w:rsidR="00BC1BC3" w:rsidRDefault="00BC1BC3" w:rsidP="00DE1B6B">
      <w:pPr>
        <w:pStyle w:val="Heading3"/>
      </w:pPr>
      <w:r>
        <w:t>Report writing, abstract and manu</w:t>
      </w:r>
      <w:r w:rsidR="00575A54">
        <w:t>script preparation and revision</w:t>
      </w:r>
    </w:p>
    <w:p w14:paraId="7A18DADF" w14:textId="3E219BE4" w:rsidR="00BC1BC3" w:rsidRDefault="00BC1BC3" w:rsidP="00BC1BC3">
      <w:r>
        <w:t xml:space="preserve">A final report will be created with an introduction, statistical methods, and results section.  These sections will be close to publication ready. The </w:t>
      </w:r>
      <w:r w:rsidR="002A17F4">
        <w:t>CIDA</w:t>
      </w:r>
      <w:r>
        <w:t xml:space="preserve"> biostatistician will edit the methods and results section for publication and read the final version of the manuscript prior to submission. Assuming the biostatistician has provided significant contribution to the manuscript in terms of performing analyses and contributing to the results and methods sections, the biostatistician shall be a co-author on the publication, acknowledging the intellectual contribution of the work.  </w:t>
      </w:r>
    </w:p>
    <w:p w14:paraId="013BEC21" w14:textId="2FFE3751" w:rsidR="00BC1BC3" w:rsidRDefault="00BC1BC3" w:rsidP="00BC1BC3">
      <w:r>
        <w:t xml:space="preserve">Assuming no substantial new analysis is needed, the </w:t>
      </w:r>
      <w:r w:rsidR="002A17F4">
        <w:t>CIDA</w:t>
      </w:r>
      <w:r>
        <w:t xml:space="preserve"> biostatistician will assist with writing a response to reviewer’s statistical questions, make revisions to the paper and review the final version of any revised manuscript.  If substantial new analysis is required, a new scope of work will be created and with costs agreed upon by both parties.</w:t>
      </w:r>
    </w:p>
    <w:p w14:paraId="43C517A1" w14:textId="0B218617" w:rsidR="00BA3932" w:rsidRDefault="002A17F4" w:rsidP="00BA3932">
      <w:pPr>
        <w:pStyle w:val="Heading3"/>
      </w:pPr>
      <w:r>
        <w:t>CIDA</w:t>
      </w:r>
      <w:r w:rsidR="00BA3932">
        <w:t xml:space="preserve"> Authorship Guidelines</w:t>
      </w:r>
    </w:p>
    <w:p w14:paraId="766CA1ED" w14:textId="77E2676B" w:rsidR="00A70B63" w:rsidRDefault="00A70B63" w:rsidP="00BC1BC3">
      <w:r w:rsidRPr="00A70B63">
        <w:t xml:space="preserve">The </w:t>
      </w:r>
      <w:r w:rsidR="002A17F4">
        <w:t>CIDA</w:t>
      </w:r>
      <w:r w:rsidRPr="00A70B63">
        <w:t xml:space="preserve"> abides by the </w:t>
      </w:r>
      <w:hyperlink r:id="rId17" w:history="1">
        <w:r w:rsidRPr="00A70B63">
          <w:rPr>
            <w:rStyle w:val="Hyperlink"/>
          </w:rPr>
          <w:t>International Committee of Medical Journal Editors (ICMJE) guidelines concerning authorship</w:t>
        </w:r>
      </w:hyperlink>
      <w:r w:rsidRPr="00A70B63">
        <w:t>.</w:t>
      </w:r>
      <w:r w:rsidR="00BA3932">
        <w:t xml:space="preserve"> </w:t>
      </w:r>
      <w:r w:rsidR="005136DA">
        <w:t xml:space="preserve">Visit our </w:t>
      </w:r>
      <w:r w:rsidR="002A17F4">
        <w:t>CIDA</w:t>
      </w:r>
      <w:r w:rsidR="005136DA">
        <w:t xml:space="preserve"> website to l</w:t>
      </w:r>
      <w:r w:rsidR="00BA3932">
        <w:t xml:space="preserve">earn more about </w:t>
      </w:r>
      <w:hyperlink r:id="rId18" w:history="1">
        <w:r w:rsidR="002A17F4">
          <w:rPr>
            <w:rStyle w:val="Hyperlink"/>
          </w:rPr>
          <w:t>CIDA</w:t>
        </w:r>
        <w:r w:rsidR="00BA3932" w:rsidRPr="00BA3932">
          <w:rPr>
            <w:rStyle w:val="Hyperlink"/>
          </w:rPr>
          <w:t>’s authorship policies</w:t>
        </w:r>
      </w:hyperlink>
      <w:r w:rsidR="00BA3932">
        <w:t>.</w:t>
      </w:r>
    </w:p>
    <w:p w14:paraId="04518DD7" w14:textId="742A5F14" w:rsidR="00BA3932" w:rsidRPr="00BA3932" w:rsidRDefault="00BA3932" w:rsidP="00BA3932">
      <w:pPr>
        <w:rPr>
          <w:b/>
        </w:rPr>
      </w:pPr>
      <w:r w:rsidRPr="00BA3932">
        <w:rPr>
          <w:b/>
        </w:rPr>
        <w:t xml:space="preserve">Specific </w:t>
      </w:r>
      <w:r w:rsidR="002A17F4">
        <w:rPr>
          <w:b/>
        </w:rPr>
        <w:t>CIDA</w:t>
      </w:r>
      <w:r w:rsidRPr="00BA3932">
        <w:rPr>
          <w:b/>
        </w:rPr>
        <w:t xml:space="preserve"> guidelines include:</w:t>
      </w:r>
    </w:p>
    <w:p w14:paraId="742C0621" w14:textId="0B2A3A19" w:rsidR="00BA3932" w:rsidRDefault="00BA3932" w:rsidP="00BA3932">
      <w:pPr>
        <w:pStyle w:val="ListParagraph"/>
        <w:numPr>
          <w:ilvl w:val="0"/>
          <w:numId w:val="1"/>
        </w:numPr>
      </w:pPr>
      <w:r>
        <w:t>The biostatistician performing the analysis will be a co-author on the publication to acknowledge the intellectual contribution to the work. Statistician co-authors will use their primary appointment affiliation on manuscripts and abstracts.</w:t>
      </w:r>
    </w:p>
    <w:p w14:paraId="57F404B1" w14:textId="60BB934D" w:rsidR="00BA3932" w:rsidRDefault="00BA3932" w:rsidP="00BA3932">
      <w:pPr>
        <w:pStyle w:val="ListParagraph"/>
        <w:numPr>
          <w:ilvl w:val="0"/>
          <w:numId w:val="1"/>
        </w:numPr>
      </w:pPr>
      <w:r>
        <w:lastRenderedPageBreak/>
        <w:t>To maintain study and statistical integrity, data collected for publication and abstracts will only be analyzed after study completion.</w:t>
      </w:r>
    </w:p>
    <w:p w14:paraId="4764D8EF" w14:textId="2E2BB780" w:rsidR="00BA3932" w:rsidRDefault="00BA3932" w:rsidP="00BA3932">
      <w:pPr>
        <w:pStyle w:val="ListParagraph"/>
        <w:numPr>
          <w:ilvl w:val="0"/>
          <w:numId w:val="1"/>
        </w:numPr>
      </w:pPr>
      <w:r>
        <w:t xml:space="preserve">The </w:t>
      </w:r>
      <w:r w:rsidR="002A17F4">
        <w:t>CIDA</w:t>
      </w:r>
      <w:r>
        <w:t xml:space="preserve"> biostatistician performs the analysis, collaborates in the structuring of the presentation of the results, and writes the "statistical methods" section of the paper.</w:t>
      </w:r>
    </w:p>
    <w:p w14:paraId="02E3327A" w14:textId="784AF7DD" w:rsidR="00BA3932" w:rsidRDefault="00BA3932" w:rsidP="00BA3932">
      <w:pPr>
        <w:pStyle w:val="ListParagraph"/>
        <w:numPr>
          <w:ilvl w:val="0"/>
          <w:numId w:val="1"/>
        </w:numPr>
      </w:pPr>
      <w:r>
        <w:t>The biostatistician reviews the publication and any revisions prior to submission.</w:t>
      </w:r>
    </w:p>
    <w:p w14:paraId="7B12469F" w14:textId="0A9D74E1" w:rsidR="00BA3932" w:rsidRDefault="00BA3932" w:rsidP="00BA3932">
      <w:pPr>
        <w:pStyle w:val="ListParagraph"/>
        <w:numPr>
          <w:ilvl w:val="0"/>
          <w:numId w:val="1"/>
        </w:numPr>
      </w:pPr>
      <w:r>
        <w:t>The biostatistician will assist with revisions, keeping in mind your revision deadlines.</w:t>
      </w:r>
    </w:p>
    <w:p w14:paraId="0175F147" w14:textId="41FC4496" w:rsidR="00A70B63" w:rsidRDefault="002A17F4" w:rsidP="00DE1B6B">
      <w:pPr>
        <w:pStyle w:val="Heading3"/>
      </w:pPr>
      <w:r>
        <w:t>CIDA</w:t>
      </w:r>
      <w:r w:rsidR="00DE1B6B">
        <w:t>’s right to cancel or close out a project</w:t>
      </w:r>
    </w:p>
    <w:p w14:paraId="1B9E6498" w14:textId="77777777" w:rsidR="00067248" w:rsidRDefault="00067248" w:rsidP="00067248">
      <w:r>
        <w:t xml:space="preserve">Please approve the Scope of Work (SOW) within 15 days (or prior to anticipated start of work, if less). SOWs not approved within 30 days will be closed. Projects which remain inactive for over 60 days will be closed unless prior arrangements have been made, and a final bill will be sent for work completed. </w:t>
      </w:r>
    </w:p>
    <w:p w14:paraId="21C5FD73" w14:textId="4E65964E" w:rsidR="007C564A" w:rsidRDefault="003B7E4B" w:rsidP="007C564A">
      <w:pPr>
        <w:pStyle w:val="Heading3"/>
      </w:pPr>
      <w:r>
        <w:t xml:space="preserve">CCTSI </w:t>
      </w:r>
      <w:r w:rsidR="007C564A">
        <w:t xml:space="preserve">subsidized </w:t>
      </w:r>
      <w:r>
        <w:t>projects</w:t>
      </w:r>
      <w:r w:rsidR="007C564A">
        <w:t xml:space="preserve"> </w:t>
      </w:r>
    </w:p>
    <w:p w14:paraId="4398DDF3" w14:textId="2E3B1408" w:rsidR="007C564A" w:rsidRPr="00BC1BC3" w:rsidRDefault="007C564A" w:rsidP="007C564A">
      <w:r>
        <w:t xml:space="preserve">If the </w:t>
      </w:r>
      <w:r w:rsidR="00BA3932">
        <w:t>project cost</w:t>
      </w:r>
      <w:r>
        <w:t xml:space="preserve"> is subsidized by the Colorado Clinical and Translational Sciences Institute (CCTSI), you are required to cite the CCTSI grant in posters and publications</w:t>
      </w:r>
      <w:r w:rsidR="00BA3932">
        <w:t xml:space="preserve">. Please review the </w:t>
      </w:r>
      <w:hyperlink r:id="rId19" w:history="1">
        <w:r w:rsidR="00BA3932" w:rsidRPr="00BA3932">
          <w:rPr>
            <w:rStyle w:val="Hyperlink"/>
          </w:rPr>
          <w:t>CCTSI’s Citation and CTSA grant language</w:t>
        </w:r>
      </w:hyperlink>
      <w:r w:rsidR="00BA3932">
        <w:t>.</w:t>
      </w:r>
    </w:p>
    <w:sectPr w:rsidR="007C564A" w:rsidRPr="00BC1BC3" w:rsidSect="00A65F2A">
      <w:headerReference w:type="default" r:id="rId20"/>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88F65" w14:textId="77777777" w:rsidR="00AF69B3" w:rsidRDefault="00AF69B3" w:rsidP="00A65F2A">
      <w:pPr>
        <w:spacing w:after="0" w:line="240" w:lineRule="auto"/>
      </w:pPr>
      <w:r>
        <w:separator/>
      </w:r>
    </w:p>
  </w:endnote>
  <w:endnote w:type="continuationSeparator" w:id="0">
    <w:p w14:paraId="23F6BBAA" w14:textId="77777777" w:rsidR="00AF69B3" w:rsidRDefault="00AF69B3" w:rsidP="00A65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54C4D" w14:textId="013579B8" w:rsidR="005C7E04" w:rsidRPr="005C7E04" w:rsidRDefault="00AF69B3" w:rsidP="005C7E04">
    <w:pPr>
      <w:pStyle w:val="Footer"/>
      <w:tabs>
        <w:tab w:val="clear" w:pos="4680"/>
        <w:tab w:val="clear" w:pos="9360"/>
        <w:tab w:val="right" w:pos="10800"/>
      </w:tabs>
      <w:jc w:val="both"/>
      <w:rPr>
        <w:sz w:val="18"/>
        <w:szCs w:val="18"/>
      </w:rPr>
    </w:pPr>
    <w:hyperlink r:id="rId1" w:history="1">
      <w:r w:rsidR="002A17F4">
        <w:rPr>
          <w:rStyle w:val="Hyperlink"/>
          <w:sz w:val="18"/>
          <w:szCs w:val="18"/>
        </w:rPr>
        <w:t>Center for Innovative Design &amp; Analysis (CIDA)</w:t>
      </w:r>
    </w:hyperlink>
    <w:r w:rsidR="005C7E04" w:rsidRPr="005C7E04">
      <w:rPr>
        <w:sz w:val="18"/>
        <w:szCs w:val="18"/>
      </w:rPr>
      <w:tab/>
    </w:r>
    <w:hyperlink r:id="rId2" w:history="1">
      <w:r w:rsidR="00E24DAA" w:rsidRPr="0011258A">
        <w:rPr>
          <w:rStyle w:val="Hyperlink"/>
          <w:sz w:val="18"/>
          <w:szCs w:val="18"/>
        </w:rPr>
        <w:t>cida@ucdenver.edu</w:t>
      </w:r>
    </w:hyperlink>
    <w:r w:rsidR="005C7E04" w:rsidRPr="005C7E04">
      <w:rPr>
        <w:sz w:val="18"/>
        <w:szCs w:val="18"/>
      </w:rPr>
      <w:t xml:space="preserve"> </w:t>
    </w:r>
    <w:r w:rsidR="005C7E04">
      <w:rPr>
        <w:sz w:val="18"/>
        <w:szCs w:val="18"/>
      </w:rPr>
      <w:br/>
    </w:r>
    <w:r w:rsidR="005C7E04" w:rsidRPr="005C7E04">
      <w:rPr>
        <w:sz w:val="18"/>
        <w:szCs w:val="18"/>
      </w:rPr>
      <w:t>Department of Biostatistics and Informatics</w:t>
    </w:r>
    <w:r w:rsidR="005C7E04" w:rsidRPr="005C7E04">
      <w:rPr>
        <w:sz w:val="18"/>
        <w:szCs w:val="18"/>
      </w:rPr>
      <w:tab/>
      <w:t>303-724-4370</w:t>
    </w:r>
    <w:r w:rsidR="005C7E04">
      <w:rPr>
        <w:sz w:val="18"/>
        <w:szCs w:val="18"/>
      </w:rPr>
      <w:br/>
    </w:r>
    <w:r w:rsidR="005C7E04" w:rsidRPr="005C7E04">
      <w:rPr>
        <w:sz w:val="18"/>
        <w:szCs w:val="18"/>
      </w:rPr>
      <w:t>Colorado School of Public Health</w:t>
    </w:r>
    <w:r w:rsidR="005C7E04" w:rsidRPr="005C7E04">
      <w:rPr>
        <w:sz w:val="18"/>
        <w:szCs w:val="18"/>
      </w:rPr>
      <w:tab/>
      <w:t>13001 17</w:t>
    </w:r>
    <w:r w:rsidR="005C7E04" w:rsidRPr="005C7E04">
      <w:rPr>
        <w:sz w:val="18"/>
        <w:szCs w:val="18"/>
        <w:vertAlign w:val="superscript"/>
      </w:rPr>
      <w:t>th</w:t>
    </w:r>
    <w:r w:rsidR="005C7E04" w:rsidRPr="005C7E04">
      <w:rPr>
        <w:sz w:val="18"/>
        <w:szCs w:val="18"/>
      </w:rPr>
      <w:t xml:space="preserve"> Place, Mail Stop B119</w:t>
    </w:r>
    <w:r w:rsidR="005C7E04">
      <w:rPr>
        <w:sz w:val="18"/>
        <w:szCs w:val="18"/>
      </w:rPr>
      <w:br/>
    </w:r>
    <w:r w:rsidR="005C7E04" w:rsidRPr="005C7E04">
      <w:rPr>
        <w:sz w:val="18"/>
        <w:szCs w:val="18"/>
      </w:rPr>
      <w:t>University of Colorado Anschutz Medical Campus</w:t>
    </w:r>
    <w:r w:rsidR="005C7E04" w:rsidRPr="005C7E04">
      <w:rPr>
        <w:sz w:val="18"/>
        <w:szCs w:val="18"/>
      </w:rPr>
      <w:tab/>
      <w:t>Aurora, Colorado 80045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FA097" w14:textId="77777777" w:rsidR="00AF69B3" w:rsidRDefault="00AF69B3" w:rsidP="00A65F2A">
      <w:pPr>
        <w:spacing w:after="0" w:line="240" w:lineRule="auto"/>
      </w:pPr>
      <w:r>
        <w:separator/>
      </w:r>
    </w:p>
  </w:footnote>
  <w:footnote w:type="continuationSeparator" w:id="0">
    <w:p w14:paraId="25CB3006" w14:textId="77777777" w:rsidR="00AF69B3" w:rsidRDefault="00AF69B3" w:rsidP="00A65F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9A5B0" w14:textId="77777777" w:rsidR="002A5F47" w:rsidRPr="00E07B12" w:rsidRDefault="002A5F47" w:rsidP="002A5F47">
    <w:pPr>
      <w:pStyle w:val="Header"/>
      <w:tabs>
        <w:tab w:val="clear" w:pos="4680"/>
        <w:tab w:val="clear" w:pos="9360"/>
        <w:tab w:val="right" w:pos="10800"/>
      </w:tabs>
      <w:jc w:val="right"/>
      <w:rPr>
        <w:sz w:val="20"/>
        <w:szCs w:val="20"/>
      </w:rPr>
    </w:pPr>
    <w:r w:rsidRPr="00E07B12">
      <w:rPr>
        <w:noProof/>
        <w:sz w:val="20"/>
        <w:szCs w:val="20"/>
      </w:rPr>
      <w:drawing>
        <wp:anchor distT="0" distB="0" distL="114300" distR="114300" simplePos="0" relativeHeight="251660288" behindDoc="0" locked="0" layoutInCell="1" allowOverlap="1" wp14:anchorId="0DEBCD23" wp14:editId="2A297921">
          <wp:simplePos x="0" y="0"/>
          <wp:positionH relativeFrom="column">
            <wp:posOffset>3810</wp:posOffset>
          </wp:positionH>
          <wp:positionV relativeFrom="paragraph">
            <wp:posOffset>-95885</wp:posOffset>
          </wp:positionV>
          <wp:extent cx="4140200" cy="3759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h_cbc_wm_blk.png"/>
                  <pic:cNvPicPr/>
                </pic:nvPicPr>
                <pic:blipFill>
                  <a:blip r:embed="rId1">
                    <a:extLst>
                      <a:ext uri="{28A0092B-C50C-407E-A947-70E740481C1C}">
                        <a14:useLocalDpi xmlns:a14="http://schemas.microsoft.com/office/drawing/2010/main" val="0"/>
                      </a:ext>
                    </a:extLst>
                  </a:blip>
                  <a:stretch>
                    <a:fillRect/>
                  </a:stretch>
                </pic:blipFill>
                <pic:spPr>
                  <a:xfrm>
                    <a:off x="0" y="0"/>
                    <a:ext cx="4140200" cy="375920"/>
                  </a:xfrm>
                  <a:prstGeom prst="rect">
                    <a:avLst/>
                  </a:prstGeom>
                </pic:spPr>
              </pic:pic>
            </a:graphicData>
          </a:graphic>
          <wp14:sizeRelH relativeFrom="page">
            <wp14:pctWidth>0</wp14:pctWidth>
          </wp14:sizeRelH>
          <wp14:sizeRelV relativeFrom="page">
            <wp14:pctHeight>0</wp14:pctHeight>
          </wp14:sizeRelV>
        </wp:anchor>
      </w:drawing>
    </w:r>
    <w:r w:rsidRPr="00E07B12">
      <w:rPr>
        <w:sz w:val="20"/>
        <w:szCs w:val="20"/>
      </w:rPr>
      <w:tab/>
      <w:t>University of Colorado</w:t>
    </w:r>
    <w:r w:rsidRPr="00E07B12">
      <w:rPr>
        <w:sz w:val="20"/>
        <w:szCs w:val="20"/>
      </w:rPr>
      <w:br/>
      <w:t>Anschutz Medical Campus</w:t>
    </w:r>
  </w:p>
  <w:p w14:paraId="12A6392A" w14:textId="77777777" w:rsidR="002A5F47" w:rsidRDefault="002A5F47" w:rsidP="002A5F47">
    <w:pPr>
      <w:pStyle w:val="Header"/>
    </w:pPr>
    <w:r>
      <w:rPr>
        <w:noProof/>
      </w:rPr>
      <mc:AlternateContent>
        <mc:Choice Requires="wps">
          <w:drawing>
            <wp:anchor distT="0" distB="0" distL="114300" distR="114300" simplePos="0" relativeHeight="251659264" behindDoc="0" locked="0" layoutInCell="1" allowOverlap="1" wp14:anchorId="1418B06C" wp14:editId="1234D303">
              <wp:simplePos x="0" y="0"/>
              <wp:positionH relativeFrom="margin">
                <wp:posOffset>19050</wp:posOffset>
              </wp:positionH>
              <wp:positionV relativeFrom="paragraph">
                <wp:posOffset>66344</wp:posOffset>
              </wp:positionV>
              <wp:extent cx="6814268" cy="7951"/>
              <wp:effectExtent l="19050" t="19050" r="24765" b="30480"/>
              <wp:wrapNone/>
              <wp:docPr id="3" name="Straight Connector 3"/>
              <wp:cNvGraphicFramePr/>
              <a:graphic xmlns:a="http://schemas.openxmlformats.org/drawingml/2006/main">
                <a:graphicData uri="http://schemas.microsoft.com/office/word/2010/wordprocessingShape">
                  <wps:wsp>
                    <wps:cNvCnPr/>
                    <wps:spPr>
                      <a:xfrm>
                        <a:off x="0" y="0"/>
                        <a:ext cx="6814268" cy="7951"/>
                      </a:xfrm>
                      <a:prstGeom prst="line">
                        <a:avLst/>
                      </a:prstGeom>
                      <a:ln w="28575" cmpd="thickThin">
                        <a:solidFill>
                          <a:srgbClr val="4B4C4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67D31"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5.2pt" to="538.0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" strokecolor="#4b4c4f" strokeweight="2.25pt">
              <v:stroke linestyle="thickThin"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30F2E"/>
    <w:multiLevelType w:val="hybridMultilevel"/>
    <w:tmpl w:val="2CFE9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980134"/>
    <w:multiLevelType w:val="hybridMultilevel"/>
    <w:tmpl w:val="A5BE0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8EB"/>
    <w:rsid w:val="000307BE"/>
    <w:rsid w:val="00067248"/>
    <w:rsid w:val="000902C1"/>
    <w:rsid w:val="0009646C"/>
    <w:rsid w:val="000D3823"/>
    <w:rsid w:val="000E6D73"/>
    <w:rsid w:val="000F79FB"/>
    <w:rsid w:val="00165676"/>
    <w:rsid w:val="00167346"/>
    <w:rsid w:val="0019785E"/>
    <w:rsid w:val="001A5FAC"/>
    <w:rsid w:val="001B0E2E"/>
    <w:rsid w:val="001F7AE3"/>
    <w:rsid w:val="00202072"/>
    <w:rsid w:val="00203D4C"/>
    <w:rsid w:val="002304C0"/>
    <w:rsid w:val="00230C4F"/>
    <w:rsid w:val="00253326"/>
    <w:rsid w:val="0025775A"/>
    <w:rsid w:val="00260356"/>
    <w:rsid w:val="00272138"/>
    <w:rsid w:val="00272416"/>
    <w:rsid w:val="002A17F4"/>
    <w:rsid w:val="002A5F47"/>
    <w:rsid w:val="002C2FD9"/>
    <w:rsid w:val="002C4B10"/>
    <w:rsid w:val="00316008"/>
    <w:rsid w:val="00326D68"/>
    <w:rsid w:val="0035488D"/>
    <w:rsid w:val="00377F13"/>
    <w:rsid w:val="0038058A"/>
    <w:rsid w:val="00391CC6"/>
    <w:rsid w:val="003B7E4B"/>
    <w:rsid w:val="003F3707"/>
    <w:rsid w:val="004040EC"/>
    <w:rsid w:val="0040707E"/>
    <w:rsid w:val="004344ED"/>
    <w:rsid w:val="004A4316"/>
    <w:rsid w:val="004B360C"/>
    <w:rsid w:val="005136DA"/>
    <w:rsid w:val="00530E2D"/>
    <w:rsid w:val="005322C6"/>
    <w:rsid w:val="0057201D"/>
    <w:rsid w:val="00575A54"/>
    <w:rsid w:val="00582842"/>
    <w:rsid w:val="0059714E"/>
    <w:rsid w:val="005B7835"/>
    <w:rsid w:val="005C2885"/>
    <w:rsid w:val="005C2E1B"/>
    <w:rsid w:val="005C7E04"/>
    <w:rsid w:val="005D09FA"/>
    <w:rsid w:val="006247ED"/>
    <w:rsid w:val="00631214"/>
    <w:rsid w:val="00632DEB"/>
    <w:rsid w:val="00635898"/>
    <w:rsid w:val="00694E20"/>
    <w:rsid w:val="006A1732"/>
    <w:rsid w:val="006A4DC0"/>
    <w:rsid w:val="006B6A16"/>
    <w:rsid w:val="006C09DF"/>
    <w:rsid w:val="006D4DEB"/>
    <w:rsid w:val="006E1A4A"/>
    <w:rsid w:val="006E5BD6"/>
    <w:rsid w:val="00716912"/>
    <w:rsid w:val="00723C78"/>
    <w:rsid w:val="00754006"/>
    <w:rsid w:val="0076767F"/>
    <w:rsid w:val="00785608"/>
    <w:rsid w:val="007A1F12"/>
    <w:rsid w:val="007B5CA7"/>
    <w:rsid w:val="007B5FF1"/>
    <w:rsid w:val="007C564A"/>
    <w:rsid w:val="00826485"/>
    <w:rsid w:val="00846E66"/>
    <w:rsid w:val="00850BF8"/>
    <w:rsid w:val="008A6CF5"/>
    <w:rsid w:val="008B5139"/>
    <w:rsid w:val="008F23D3"/>
    <w:rsid w:val="008F5795"/>
    <w:rsid w:val="00912B93"/>
    <w:rsid w:val="00913613"/>
    <w:rsid w:val="00936F92"/>
    <w:rsid w:val="00950649"/>
    <w:rsid w:val="00952F62"/>
    <w:rsid w:val="00964A4E"/>
    <w:rsid w:val="00996B8A"/>
    <w:rsid w:val="009A1BE9"/>
    <w:rsid w:val="009C6F78"/>
    <w:rsid w:val="009F028F"/>
    <w:rsid w:val="009F38F2"/>
    <w:rsid w:val="009F59EF"/>
    <w:rsid w:val="009F651F"/>
    <w:rsid w:val="00A03EF2"/>
    <w:rsid w:val="00A46888"/>
    <w:rsid w:val="00A65F2A"/>
    <w:rsid w:val="00A70B63"/>
    <w:rsid w:val="00A81090"/>
    <w:rsid w:val="00AA3340"/>
    <w:rsid w:val="00AE1635"/>
    <w:rsid w:val="00AF1392"/>
    <w:rsid w:val="00AF69B3"/>
    <w:rsid w:val="00B20ABB"/>
    <w:rsid w:val="00B26BE9"/>
    <w:rsid w:val="00B33B3C"/>
    <w:rsid w:val="00B33E03"/>
    <w:rsid w:val="00B34029"/>
    <w:rsid w:val="00B35D47"/>
    <w:rsid w:val="00B4723B"/>
    <w:rsid w:val="00B70215"/>
    <w:rsid w:val="00B75B3D"/>
    <w:rsid w:val="00B82B57"/>
    <w:rsid w:val="00B96FAE"/>
    <w:rsid w:val="00BA3932"/>
    <w:rsid w:val="00BC1BC3"/>
    <w:rsid w:val="00BC59B2"/>
    <w:rsid w:val="00BE612D"/>
    <w:rsid w:val="00C3133A"/>
    <w:rsid w:val="00C43F35"/>
    <w:rsid w:val="00C45C97"/>
    <w:rsid w:val="00C5449C"/>
    <w:rsid w:val="00C601A7"/>
    <w:rsid w:val="00C81046"/>
    <w:rsid w:val="00CB4131"/>
    <w:rsid w:val="00CB5960"/>
    <w:rsid w:val="00CC715D"/>
    <w:rsid w:val="00CF2853"/>
    <w:rsid w:val="00CF3292"/>
    <w:rsid w:val="00D3653E"/>
    <w:rsid w:val="00D42866"/>
    <w:rsid w:val="00D92CF8"/>
    <w:rsid w:val="00D96DA0"/>
    <w:rsid w:val="00D97F3D"/>
    <w:rsid w:val="00DA5DA5"/>
    <w:rsid w:val="00DD7A22"/>
    <w:rsid w:val="00DE1B6B"/>
    <w:rsid w:val="00DE69B2"/>
    <w:rsid w:val="00DE7155"/>
    <w:rsid w:val="00DF1A35"/>
    <w:rsid w:val="00DF6E68"/>
    <w:rsid w:val="00E07B12"/>
    <w:rsid w:val="00E17CE5"/>
    <w:rsid w:val="00E24DAA"/>
    <w:rsid w:val="00E4046C"/>
    <w:rsid w:val="00E44E21"/>
    <w:rsid w:val="00E54CC2"/>
    <w:rsid w:val="00E72595"/>
    <w:rsid w:val="00E749F6"/>
    <w:rsid w:val="00E8114D"/>
    <w:rsid w:val="00EA18A9"/>
    <w:rsid w:val="00EA5BA7"/>
    <w:rsid w:val="00EF47AE"/>
    <w:rsid w:val="00F255A9"/>
    <w:rsid w:val="00F44CB2"/>
    <w:rsid w:val="00F6072D"/>
    <w:rsid w:val="00F838EB"/>
    <w:rsid w:val="00FC2A39"/>
    <w:rsid w:val="00FE7ADB"/>
    <w:rsid w:val="00FF0B98"/>
    <w:rsid w:val="00FF3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C5802"/>
  <w15:chartTrackingRefBased/>
  <w15:docId w15:val="{1029FC22-F6BC-4133-9E63-95C16A13E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5608"/>
  </w:style>
  <w:style w:type="paragraph" w:styleId="Heading1">
    <w:name w:val="heading 1"/>
    <w:basedOn w:val="Normal"/>
    <w:next w:val="Normal"/>
    <w:link w:val="Heading1Char"/>
    <w:uiPriority w:val="9"/>
    <w:qFormat/>
    <w:rsid w:val="00B26BE9"/>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unhideWhenUsed/>
    <w:qFormat/>
    <w:rsid w:val="00A70B63"/>
    <w:pPr>
      <w:keepNext/>
      <w:keepLines/>
      <w:pBdr>
        <w:bottom w:val="single" w:sz="8" w:space="1" w:color="auto"/>
      </w:pBdr>
      <w:spacing w:before="240" w:after="0"/>
      <w:outlineLvl w:val="1"/>
    </w:pPr>
    <w:rPr>
      <w:rFonts w:ascii="Arial" w:eastAsiaTheme="majorEastAsia" w:hAnsi="Arial" w:cstheme="majorBidi"/>
      <w:b/>
      <w:color w:val="171717" w:themeColor="background2" w:themeShade="1A"/>
      <w:sz w:val="26"/>
      <w:szCs w:val="26"/>
    </w:rPr>
  </w:style>
  <w:style w:type="paragraph" w:styleId="Heading3">
    <w:name w:val="heading 3"/>
    <w:basedOn w:val="Normal"/>
    <w:next w:val="Normal"/>
    <w:link w:val="Heading3Char"/>
    <w:uiPriority w:val="9"/>
    <w:unhideWhenUsed/>
    <w:qFormat/>
    <w:rsid w:val="00A70B63"/>
    <w:pPr>
      <w:keepNext/>
      <w:keepLines/>
      <w:spacing w:before="240" w:after="0"/>
      <w:outlineLvl w:val="2"/>
    </w:pPr>
    <w:rPr>
      <w:rFonts w:ascii="Arial" w:eastAsiaTheme="majorEastAsia" w:hAnsi="Arial" w:cstheme="majorBidi"/>
      <w:b/>
      <w:color w:val="3B3838" w:themeColor="background2" w:themeShade="40"/>
      <w:sz w:val="24"/>
      <w:szCs w:val="24"/>
    </w:rPr>
  </w:style>
  <w:style w:type="paragraph" w:styleId="Heading4">
    <w:name w:val="heading 4"/>
    <w:basedOn w:val="Normal"/>
    <w:next w:val="Normal"/>
    <w:link w:val="Heading4Char"/>
    <w:uiPriority w:val="9"/>
    <w:unhideWhenUsed/>
    <w:qFormat/>
    <w:rsid w:val="005322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F2A"/>
  </w:style>
  <w:style w:type="paragraph" w:styleId="Footer">
    <w:name w:val="footer"/>
    <w:basedOn w:val="Normal"/>
    <w:link w:val="FooterChar"/>
    <w:uiPriority w:val="99"/>
    <w:unhideWhenUsed/>
    <w:rsid w:val="00A65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F2A"/>
  </w:style>
  <w:style w:type="character" w:styleId="Hyperlink">
    <w:name w:val="Hyperlink"/>
    <w:basedOn w:val="DefaultParagraphFont"/>
    <w:uiPriority w:val="99"/>
    <w:unhideWhenUsed/>
    <w:rsid w:val="005C7E04"/>
    <w:rPr>
      <w:color w:val="0563C1" w:themeColor="hyperlink"/>
      <w:u w:val="single"/>
    </w:rPr>
  </w:style>
  <w:style w:type="character" w:customStyle="1" w:styleId="Heading1Char">
    <w:name w:val="Heading 1 Char"/>
    <w:basedOn w:val="DefaultParagraphFont"/>
    <w:link w:val="Heading1"/>
    <w:uiPriority w:val="9"/>
    <w:rsid w:val="00B26BE9"/>
    <w:rPr>
      <w:rFonts w:ascii="Arial" w:eastAsiaTheme="majorEastAsia" w:hAnsi="Arial" w:cstheme="majorBidi"/>
      <w:b/>
      <w:color w:val="000000" w:themeColor="text1"/>
      <w:sz w:val="32"/>
      <w:szCs w:val="32"/>
    </w:rPr>
  </w:style>
  <w:style w:type="table" w:styleId="TableGrid">
    <w:name w:val="Table Grid"/>
    <w:basedOn w:val="TableNormal"/>
    <w:uiPriority w:val="39"/>
    <w:rsid w:val="00597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70B63"/>
    <w:rPr>
      <w:rFonts w:ascii="Arial" w:eastAsiaTheme="majorEastAsia" w:hAnsi="Arial" w:cstheme="majorBidi"/>
      <w:b/>
      <w:color w:val="171717" w:themeColor="background2" w:themeShade="1A"/>
      <w:sz w:val="26"/>
      <w:szCs w:val="26"/>
    </w:rPr>
  </w:style>
  <w:style w:type="character" w:customStyle="1" w:styleId="Heading3Char">
    <w:name w:val="Heading 3 Char"/>
    <w:basedOn w:val="DefaultParagraphFont"/>
    <w:link w:val="Heading3"/>
    <w:uiPriority w:val="9"/>
    <w:rsid w:val="00A70B63"/>
    <w:rPr>
      <w:rFonts w:ascii="Arial" w:eastAsiaTheme="majorEastAsia" w:hAnsi="Arial" w:cstheme="majorBidi"/>
      <w:b/>
      <w:color w:val="3B3838" w:themeColor="background2" w:themeShade="40"/>
      <w:sz w:val="24"/>
      <w:szCs w:val="24"/>
    </w:rPr>
  </w:style>
  <w:style w:type="character" w:customStyle="1" w:styleId="Heading4Char">
    <w:name w:val="Heading 4 Char"/>
    <w:basedOn w:val="DefaultParagraphFont"/>
    <w:link w:val="Heading4"/>
    <w:uiPriority w:val="9"/>
    <w:rsid w:val="005322C6"/>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BA3932"/>
    <w:pPr>
      <w:ind w:left="720"/>
      <w:contextualSpacing/>
    </w:pPr>
  </w:style>
  <w:style w:type="character" w:styleId="Strong">
    <w:name w:val="Strong"/>
    <w:basedOn w:val="DefaultParagraphFont"/>
    <w:uiPriority w:val="22"/>
    <w:qFormat/>
    <w:rsid w:val="00C45C97"/>
    <w:rPr>
      <w:b/>
      <w:bCs/>
    </w:rPr>
  </w:style>
  <w:style w:type="character" w:styleId="UnresolvedMention">
    <w:name w:val="Unresolved Mention"/>
    <w:basedOn w:val="DefaultParagraphFont"/>
    <w:uiPriority w:val="99"/>
    <w:semiHidden/>
    <w:unhideWhenUsed/>
    <w:rsid w:val="00B340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747495">
      <w:bodyDiv w:val="1"/>
      <w:marLeft w:val="0"/>
      <w:marRight w:val="0"/>
      <w:marTop w:val="0"/>
      <w:marBottom w:val="0"/>
      <w:divBdr>
        <w:top w:val="none" w:sz="0" w:space="0" w:color="auto"/>
        <w:left w:val="none" w:sz="0" w:space="0" w:color="auto"/>
        <w:bottom w:val="none" w:sz="0" w:space="0" w:color="auto"/>
        <w:right w:val="none" w:sz="0" w:space="0" w:color="auto"/>
      </w:divBdr>
    </w:div>
    <w:div w:id="1174102982">
      <w:bodyDiv w:val="1"/>
      <w:marLeft w:val="0"/>
      <w:marRight w:val="0"/>
      <w:marTop w:val="0"/>
      <w:marBottom w:val="0"/>
      <w:divBdr>
        <w:top w:val="none" w:sz="0" w:space="0" w:color="auto"/>
        <w:left w:val="none" w:sz="0" w:space="0" w:color="auto"/>
        <w:bottom w:val="none" w:sz="0" w:space="0" w:color="auto"/>
        <w:right w:val="none" w:sz="0" w:space="0" w:color="auto"/>
      </w:divBdr>
    </w:div>
    <w:div w:id="118031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orms.ucdenver.edu/secure/cida_biostatistics_consulting_sow_approval" TargetMode="External"/><Relationship Id="rId18" Type="http://schemas.openxmlformats.org/officeDocument/2006/relationships/hyperlink" Target="http://www.ucdenver.edu/academics/colleges/PublicHealth/research/centers/CBC/Biostatistics-Consulting/Pages/authorship.aspx"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forms.ucdenver.edu/secure/cida_biostatistics_consulting_sow_approval" TargetMode="External"/><Relationship Id="rId17" Type="http://schemas.openxmlformats.org/officeDocument/2006/relationships/hyperlink" Target="http://www.icmje.org/" TargetMode="External"/><Relationship Id="rId2" Type="http://schemas.openxmlformats.org/officeDocument/2006/relationships/customXml" Target="../customXml/item2.xml"/><Relationship Id="rId16" Type="http://schemas.openxmlformats.org/officeDocument/2006/relationships/hyperlink" Target="http://redcapinfo.ucdenver.edu/"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iranda.Kroehl@ucdenver.edu" TargetMode="External"/><Relationship Id="rId5" Type="http://schemas.openxmlformats.org/officeDocument/2006/relationships/numbering" Target="numbering.xml"/><Relationship Id="rId15" Type="http://schemas.openxmlformats.org/officeDocument/2006/relationships/hyperlink" Target="mailto:cida@ucdenver.edu?subject=Don't%20Agree%20with%20CIDA%20Scope%20of%20Work%20Agreement"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ucdenver.edu/research/CCTSI/about/Pages/Cite-Grant.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orms.ucdenver.edu/secure/cida_biostatistics_consulting_sow_approval"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cida@ucdenver.edu" TargetMode="External"/><Relationship Id="rId1" Type="http://schemas.openxmlformats.org/officeDocument/2006/relationships/hyperlink" Target="http://cida.ucdenver.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irst_x0020_Name xmlns="55dace3e-c5e3-44cc-9f69-8dda8aaf843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2B26194FEC9647A6CA42FBD13A35BB" ma:contentTypeVersion="4" ma:contentTypeDescription="Create a new document." ma:contentTypeScope="" ma:versionID="5ef76bbe0a37890fba0e15aa64817bfe">
  <xsd:schema xmlns:xsd="http://www.w3.org/2001/XMLSchema" xmlns:xs="http://www.w3.org/2001/XMLSchema" xmlns:p="http://schemas.microsoft.com/office/2006/metadata/properties" xmlns:ns2="55dace3e-c5e3-44cc-9f69-8dda8aaf8435" targetNamespace="http://schemas.microsoft.com/office/2006/metadata/properties" ma:root="true" ma:fieldsID="3398e7b5f10bbed9e6acf210ff03d287" ns2:_="">
    <xsd:import namespace="55dace3e-c5e3-44cc-9f69-8dda8aaf8435"/>
    <xsd:element name="properties">
      <xsd:complexType>
        <xsd:sequence>
          <xsd:element name="documentManagement">
            <xsd:complexType>
              <xsd:all>
                <xsd:element ref="ns2:First_x0020_Name" minOccurs="0"/>
                <xsd:element ref="ns2:First_x0020_Name_x003a_Last_x0020_Name" minOccurs="0"/>
                <xsd:element ref="ns2:First_x0020_Name_x003a_Phone" minOccurs="0"/>
                <xsd:element ref="ns2:First_x0020_Name_x003a_Emai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ace3e-c5e3-44cc-9f69-8dda8aaf8435" elementFormDefault="qualified">
    <xsd:import namespace="http://schemas.microsoft.com/office/2006/documentManagement/types"/>
    <xsd:import namespace="http://schemas.microsoft.com/office/infopath/2007/PartnerControls"/>
    <xsd:element name="First_x0020_Name" ma:index="8" nillable="true" ma:displayName="First Name" ma:list="{f61f2c1d-21b7-4a3d-a895-85dbc73064ed}" ma:internalName="First_x0020_Name" ma:showField="First_x0020_Name">
      <xsd:simpleType>
        <xsd:restriction base="dms:Lookup"/>
      </xsd:simpleType>
    </xsd:element>
    <xsd:element name="First_x0020_Name_x003a_Last_x0020_Name" ma:index="9" nillable="true" ma:displayName="First Name:Last Name" ma:list="{f61f2c1d-21b7-4a3d-a895-85dbc73064ed}" ma:internalName="First_x0020_Name_x003a_Last_x0020_Name" ma:readOnly="true" ma:showField="Title" ma:web="11f58195-df03-4f82-a867-d75203af860a">
      <xsd:simpleType>
        <xsd:restriction base="dms:Lookup"/>
      </xsd:simpleType>
    </xsd:element>
    <xsd:element name="First_x0020_Name_x003a_Phone" ma:index="10" nillable="true" ma:displayName="First Name:Phone" ma:list="{f61f2c1d-21b7-4a3d-a895-85dbc73064ed}" ma:internalName="First_x0020_Name_x003a_Phone" ma:readOnly="true" ma:showField="Phone" ma:web="11f58195-df03-4f82-a867-d75203af860a">
      <xsd:simpleType>
        <xsd:restriction base="dms:Lookup"/>
      </xsd:simpleType>
    </xsd:element>
    <xsd:element name="First_x0020_Name_x003a_Email" ma:index="11" nillable="true" ma:displayName="First Name:Email" ma:list="{f61f2c1d-21b7-4a3d-a895-85dbc73064ed}" ma:internalName="First_x0020_Name_x003a_Email" ma:readOnly="true" ma:showField="Email" ma:web="11f58195-df03-4f82-a867-d75203af860a">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15542-6724-4A23-B3D4-85865AE81BFB}">
  <ds:schemaRefs>
    <ds:schemaRef ds:uri="http://schemas.microsoft.com/office/2006/metadata/properties"/>
    <ds:schemaRef ds:uri="http://schemas.microsoft.com/office/infopath/2007/PartnerControls"/>
    <ds:schemaRef ds:uri="55dace3e-c5e3-44cc-9f69-8dda8aaf8435"/>
  </ds:schemaRefs>
</ds:datastoreItem>
</file>

<file path=customXml/itemProps2.xml><?xml version="1.0" encoding="utf-8"?>
<ds:datastoreItem xmlns:ds="http://schemas.openxmlformats.org/officeDocument/2006/customXml" ds:itemID="{8C27D5F4-0B51-4AD9-A8E4-D3B49DBAEB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ace3e-c5e3-44cc-9f69-8dda8aaf84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C28F30-25C5-40E2-86AC-997E9D14A90B}">
  <ds:schemaRefs>
    <ds:schemaRef ds:uri="http://schemas.microsoft.com/sharepoint/v3/contenttype/forms"/>
  </ds:schemaRefs>
</ds:datastoreItem>
</file>

<file path=customXml/itemProps4.xml><?xml version="1.0" encoding="utf-8"?>
<ds:datastoreItem xmlns:ds="http://schemas.openxmlformats.org/officeDocument/2006/customXml" ds:itemID="{09521730-378B-4BDE-A0F0-F2D5A45CC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Biostatistics Scope of Work</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Biostatistics Scope of Work</dc:title>
  <dc:subject/>
  <dc:creator>Crawford, Glenda</dc:creator>
  <cp:keywords/>
  <dc:description/>
  <cp:lastModifiedBy>Vigers, Timothy</cp:lastModifiedBy>
  <cp:revision>35</cp:revision>
  <dcterms:created xsi:type="dcterms:W3CDTF">2018-09-17T16:13:00Z</dcterms:created>
  <dcterms:modified xsi:type="dcterms:W3CDTF">2018-09-21T13:58:00Z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0x0101003F2B26194FEC9647A6CA42FBD13A35BB</vt:lpwstr>
  </property>
</Properties>
</file>