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EEDA" w14:textId="77777777" w:rsidR="0060008F" w:rsidRDefault="00B15ED9">
      <w:r>
        <w:t>Tim Vigers</w:t>
      </w:r>
    </w:p>
    <w:p w14:paraId="66D9C469" w14:textId="77777777" w:rsidR="00B15ED9" w:rsidRDefault="00B15ED9">
      <w:r>
        <w:t>3/26/19</w:t>
      </w:r>
    </w:p>
    <w:p w14:paraId="4B50D838" w14:textId="77777777" w:rsidR="00B15ED9" w:rsidRDefault="00B15ED9">
      <w:r>
        <w:t>Consulting 2</w:t>
      </w:r>
    </w:p>
    <w:p w14:paraId="7783C1A5" w14:textId="77777777" w:rsidR="00B15ED9" w:rsidRDefault="000A5A0D">
      <w:r>
        <w:t>Group Project</w:t>
      </w:r>
    </w:p>
    <w:p w14:paraId="14A8C6F6" w14:textId="77777777" w:rsidR="000A5A0D" w:rsidRDefault="000A5A0D"/>
    <w:p w14:paraId="29E59420" w14:textId="77777777" w:rsidR="009C4645" w:rsidRDefault="004D2044" w:rsidP="000345F8">
      <w:pPr>
        <w:jc w:val="center"/>
        <w:rPr>
          <w:i/>
        </w:rPr>
      </w:pPr>
      <w:r w:rsidRPr="008D2D0F">
        <w:rPr>
          <w:i/>
        </w:rPr>
        <w:t>Propensity Scores</w:t>
      </w:r>
    </w:p>
    <w:p w14:paraId="67705169" w14:textId="77777777" w:rsidR="000345F8" w:rsidRDefault="000345F8">
      <w:pPr>
        <w:rPr>
          <w:i/>
        </w:rPr>
      </w:pPr>
    </w:p>
    <w:p w14:paraId="5AF0156A" w14:textId="4D24F6EF" w:rsidR="001C7CC8" w:rsidRDefault="001C7CC8">
      <w:pPr>
        <w:rPr>
          <w:u w:val="single"/>
        </w:rPr>
      </w:pPr>
      <w:r>
        <w:rPr>
          <w:u w:val="single"/>
        </w:rPr>
        <w:t>Introduction</w:t>
      </w:r>
    </w:p>
    <w:p w14:paraId="1E21FE07" w14:textId="24688A84" w:rsidR="005B13E1" w:rsidRDefault="005B13E1" w:rsidP="00EC75F3">
      <w:pPr>
        <w:autoSpaceDE w:val="0"/>
        <w:autoSpaceDN w:val="0"/>
        <w:adjustRightInd w:val="0"/>
      </w:pPr>
      <w:r>
        <w:tab/>
      </w:r>
      <w:r w:rsidR="00242CB4">
        <w:t xml:space="preserve">Randomized controlled trials </w:t>
      </w:r>
      <w:r w:rsidR="004B752B">
        <w:t xml:space="preserve">(RCTs) </w:t>
      </w:r>
      <w:r w:rsidR="003D389E">
        <w:t>ensure</w:t>
      </w:r>
      <w:r w:rsidR="004B752B">
        <w:t xml:space="preserve"> by design</w:t>
      </w:r>
      <w:r w:rsidR="003D389E">
        <w:t xml:space="preserve"> that treatment groups </w:t>
      </w:r>
      <w:r w:rsidR="004B752B">
        <w:t>have similar baseline character</w:t>
      </w:r>
      <w:r w:rsidR="00D8565D">
        <w:t xml:space="preserve">istics, </w:t>
      </w:r>
      <w:r w:rsidR="00502B39">
        <w:t>but these</w:t>
      </w:r>
      <w:r w:rsidR="002D39F0">
        <w:t xml:space="preserve"> characteristics</w:t>
      </w:r>
      <w:r w:rsidR="00502B39">
        <w:t xml:space="preserve"> </w:t>
      </w:r>
      <w:r w:rsidR="001460E8">
        <w:t>can differ</w:t>
      </w:r>
      <w:r w:rsidR="002F7C95">
        <w:t xml:space="preserve"> significantly</w:t>
      </w:r>
      <w:r w:rsidR="001460E8">
        <w:t xml:space="preserve"> in </w:t>
      </w:r>
      <w:r w:rsidR="002F7C95">
        <w:t xml:space="preserve">observational studies </w:t>
      </w:r>
      <w:r w:rsidR="007B073A">
        <w:t xml:space="preserve">(for example </w:t>
      </w:r>
      <w:r w:rsidR="0062207C">
        <w:t>through participant self-selection</w:t>
      </w:r>
      <w:r w:rsidR="007B073A">
        <w:t>)</w:t>
      </w:r>
      <w:r w:rsidR="009443BB">
        <w:t>.</w:t>
      </w:r>
      <w:r w:rsidR="002F7C95">
        <w:t xml:space="preserve"> </w:t>
      </w:r>
      <w:r w:rsidR="00073A85">
        <w:t>It</w:t>
      </w:r>
      <w:r w:rsidR="00AE6034">
        <w:t xml:space="preserve"> is important to </w:t>
      </w:r>
      <w:r w:rsidR="006202D8">
        <w:t xml:space="preserve">account for these differences </w:t>
      </w:r>
      <w:r w:rsidR="00C16F30">
        <w:t>before making</w:t>
      </w:r>
      <w:r w:rsidR="00182094">
        <w:t xml:space="preserve"> inferences on </w:t>
      </w:r>
      <w:r w:rsidR="003A327D">
        <w:t>treatment effect</w:t>
      </w:r>
      <w:r w:rsidR="00947F58">
        <w:t xml:space="preserve"> based on observational data</w:t>
      </w:r>
      <w:r w:rsidR="00A97D71">
        <w:t xml:space="preserve">, since </w:t>
      </w:r>
      <w:r w:rsidR="000F6C4A">
        <w:t xml:space="preserve">one cannot compare outcomes directly as </w:t>
      </w:r>
      <w:r w:rsidR="00D51353">
        <w:t>with</w:t>
      </w:r>
      <w:r w:rsidR="00BC2A05">
        <w:t xml:space="preserve"> a RCT</w:t>
      </w:r>
      <w:r w:rsidR="00E81130">
        <w:t>.</w:t>
      </w:r>
      <w:r w:rsidR="00C271F4">
        <w:t xml:space="preserve"> </w:t>
      </w:r>
      <w:r w:rsidR="00C271F4">
        <w:t xml:space="preserve">One common method for dealing with </w:t>
      </w:r>
      <w:r w:rsidR="00C77BB0">
        <w:t>this issue</w:t>
      </w:r>
      <w:r w:rsidR="00C271F4">
        <w:t xml:space="preserve"> </w:t>
      </w:r>
      <w:r w:rsidR="00B1566D">
        <w:t>is regression adjustment.</w:t>
      </w:r>
      <w:r w:rsidR="0075742C">
        <w:t xml:space="preserve"> </w:t>
      </w:r>
      <w:bookmarkStart w:id="0" w:name="_GoBack"/>
      <w:bookmarkEnd w:id="0"/>
      <w:r w:rsidR="002E4CB1">
        <w:fldChar w:fldCharType="begin"/>
      </w:r>
      <w:r w:rsidR="00564C59"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2E4CB1">
        <w:fldChar w:fldCharType="separate"/>
      </w:r>
      <w:r w:rsidR="002D39F0">
        <w:rPr>
          <w:noProof/>
        </w:rPr>
        <w:t>[1]</w:t>
      </w:r>
      <w:r w:rsidR="002E4CB1">
        <w:fldChar w:fldCharType="end"/>
      </w:r>
      <w:r w:rsidR="003A301D">
        <w:t xml:space="preserve"> </w:t>
      </w:r>
      <w:r w:rsidR="00237339">
        <w:t xml:space="preserve">Propensity scores are </w:t>
      </w:r>
      <w:r w:rsidR="003C5723">
        <w:t xml:space="preserve">simply </w:t>
      </w:r>
      <w:r w:rsidR="00B86421">
        <w:t>another</w:t>
      </w:r>
      <w:r w:rsidR="00237339">
        <w:t xml:space="preserve"> way </w:t>
      </w:r>
      <w:r w:rsidR="00EC75F3">
        <w:t>to “</w:t>
      </w:r>
      <w:r w:rsidR="00EC75F3" w:rsidRPr="00D65243">
        <w:t>remove bias due to</w:t>
      </w:r>
      <w:r w:rsidR="00EC75F3" w:rsidRPr="00D65243">
        <w:t xml:space="preserve"> </w:t>
      </w:r>
      <w:r w:rsidR="00EC75F3" w:rsidRPr="00D65243">
        <w:t>all observed covariates</w:t>
      </w:r>
      <w:r w:rsidR="00EC75F3" w:rsidRPr="00D65243">
        <w:t>.”</w:t>
      </w:r>
      <w:r w:rsidR="0075742C">
        <w:t xml:space="preserve"> </w:t>
      </w:r>
      <w:r w:rsidR="00577BE4">
        <w:fldChar w:fldCharType="begin"/>
      </w:r>
      <w:r w:rsidR="00564C59"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577BE4">
        <w:fldChar w:fldCharType="separate"/>
      </w:r>
      <w:r w:rsidR="00577BE4">
        <w:rPr>
          <w:noProof/>
        </w:rPr>
        <w:t>[2]</w:t>
      </w:r>
      <w:r w:rsidR="00577BE4">
        <w:fldChar w:fldCharType="end"/>
      </w:r>
      <w:r w:rsidR="00FE53CA">
        <w:t xml:space="preserve"> </w:t>
      </w:r>
    </w:p>
    <w:p w14:paraId="21CF7338" w14:textId="77777777" w:rsidR="003449D4" w:rsidRDefault="002B29B2" w:rsidP="003449D4">
      <w:pPr>
        <w:autoSpaceDE w:val="0"/>
        <w:autoSpaceDN w:val="0"/>
        <w:adjustRightInd w:val="0"/>
      </w:pPr>
      <w:r>
        <w:tab/>
        <w:t xml:space="preserve">There are </w:t>
      </w:r>
      <w:r w:rsidR="003C7740">
        <w:t>severa</w:t>
      </w:r>
      <w:r w:rsidR="00017B5B">
        <w:t xml:space="preserve">l reasons that </w:t>
      </w:r>
      <w:r w:rsidR="00FD0346">
        <w:t xml:space="preserve">propensity scores </w:t>
      </w:r>
      <w:r w:rsidR="00135CA6">
        <w:t xml:space="preserve">are used in place of regression adjustment. First, </w:t>
      </w:r>
      <w:r w:rsidR="00774F22">
        <w:t>propensity scores allow for separation between the design and analysis phases of the study</w:t>
      </w:r>
      <w:r w:rsidR="003449D4">
        <w:t xml:space="preserve"> because “</w:t>
      </w:r>
      <w:r w:rsidR="003449D4">
        <w:t>a matched, stratified, or weighted sample can be constructed</w:t>
      </w:r>
    </w:p>
    <w:p w14:paraId="1085489B" w14:textId="56A6E9E7" w:rsidR="00FE53CA" w:rsidRDefault="003449D4" w:rsidP="003449D4">
      <w:pPr>
        <w:autoSpaceDE w:val="0"/>
        <w:autoSpaceDN w:val="0"/>
        <w:adjustRightInd w:val="0"/>
      </w:pPr>
      <w:r>
        <w:t>without any reference to the outcome</w:t>
      </w:r>
      <w:r w:rsidR="00564C59">
        <w:t xml:space="preserve">.” </w:t>
      </w:r>
      <w:r w:rsidR="00564C59">
        <w:fldChar w:fldCharType="begin"/>
      </w:r>
      <w:r w:rsidR="00564C59"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564C59">
        <w:fldChar w:fldCharType="separate"/>
      </w:r>
      <w:r w:rsidR="00564C59">
        <w:rPr>
          <w:noProof/>
        </w:rPr>
        <w:t>[1]</w:t>
      </w:r>
      <w:r w:rsidR="00564C59">
        <w:fldChar w:fldCharType="end"/>
      </w:r>
      <w:r w:rsidR="001A05D5">
        <w:t xml:space="preserve"> Also, research has shown that </w:t>
      </w:r>
      <w:r w:rsidR="00A51C6F">
        <w:t xml:space="preserve">propensity scores </w:t>
      </w:r>
      <w:r w:rsidR="00B21528">
        <w:t xml:space="preserve">are more effective than regression </w:t>
      </w:r>
      <w:r w:rsidR="0058212B">
        <w:t>when the outcome under study is rare</w:t>
      </w:r>
      <w:r w:rsidR="0075742C">
        <w:t xml:space="preserve"> </w:t>
      </w:r>
    </w:p>
    <w:p w14:paraId="04797432" w14:textId="77777777" w:rsidR="00012406" w:rsidRDefault="00012406" w:rsidP="00EC75F3">
      <w:pPr>
        <w:autoSpaceDE w:val="0"/>
        <w:autoSpaceDN w:val="0"/>
        <w:adjustRightInd w:val="0"/>
      </w:pPr>
    </w:p>
    <w:p w14:paraId="3B7C74CF" w14:textId="7159A71D" w:rsidR="004F72E2" w:rsidRDefault="004F72E2" w:rsidP="00EC75F3">
      <w:pPr>
        <w:autoSpaceDE w:val="0"/>
        <w:autoSpaceDN w:val="0"/>
        <w:adjustRightInd w:val="0"/>
      </w:pPr>
      <w:r>
        <w:tab/>
        <w:t xml:space="preserve">However, once </w:t>
      </w:r>
      <w:r w:rsidR="00A219D8">
        <w:t xml:space="preserve">a researcher has decided to use </w:t>
      </w:r>
      <w:r w:rsidR="00AD489A">
        <w:t xml:space="preserve">a </w:t>
      </w:r>
      <w:r w:rsidR="00D543C8">
        <w:t xml:space="preserve">propensity score </w:t>
      </w:r>
      <w:r w:rsidR="00AD489A">
        <w:t xml:space="preserve">approach </w:t>
      </w:r>
      <w:r w:rsidR="00D543C8">
        <w:t xml:space="preserve">rather than </w:t>
      </w:r>
      <w:r w:rsidR="00884763">
        <w:t xml:space="preserve">regression adjustment, there are </w:t>
      </w:r>
      <w:r w:rsidR="000344A7">
        <w:t xml:space="preserve">several </w:t>
      </w:r>
      <w:r w:rsidR="004A63DA">
        <w:t xml:space="preserve">questions regarding its </w:t>
      </w:r>
      <w:r w:rsidR="00AD489A">
        <w:t xml:space="preserve">implementation. </w:t>
      </w:r>
      <w:r w:rsidR="00D0392B">
        <w:t xml:space="preserve">First, </w:t>
      </w:r>
      <w:r w:rsidR="000E69C0">
        <w:t xml:space="preserve">how should </w:t>
      </w:r>
      <w:r w:rsidR="005D7562">
        <w:t xml:space="preserve">one </w:t>
      </w:r>
      <w:r w:rsidR="00EA4ABB">
        <w:t>estimate</w:t>
      </w:r>
      <w:r w:rsidR="005D7562">
        <w:t xml:space="preserve"> the propensity </w:t>
      </w:r>
      <w:r w:rsidR="004127AF">
        <w:t>score</w:t>
      </w:r>
      <w:r w:rsidR="005B19DC">
        <w:t>,</w:t>
      </w:r>
      <w:r w:rsidR="004127AF">
        <w:t xml:space="preserve"> </w:t>
      </w:r>
      <w:r w:rsidR="009F6692">
        <w:t>and</w:t>
      </w:r>
      <w:r w:rsidR="005B19DC">
        <w:t xml:space="preserve"> how </w:t>
      </w:r>
      <w:r w:rsidR="00FE53CA">
        <w:t xml:space="preserve">can one </w:t>
      </w:r>
      <w:r w:rsidR="005B19DC">
        <w:t xml:space="preserve"> </w:t>
      </w:r>
    </w:p>
    <w:p w14:paraId="415E07EE" w14:textId="4F63009D" w:rsidR="00895A1E" w:rsidRDefault="00895A1E" w:rsidP="00EC75F3">
      <w:pPr>
        <w:autoSpaceDE w:val="0"/>
        <w:autoSpaceDN w:val="0"/>
        <w:adjustRightInd w:val="0"/>
      </w:pPr>
      <w:r>
        <w:tab/>
      </w:r>
    </w:p>
    <w:p w14:paraId="29A3C00B" w14:textId="0A0B2D42" w:rsidR="002F634D" w:rsidRPr="00D65243" w:rsidRDefault="002F634D" w:rsidP="00EC75F3">
      <w:pPr>
        <w:autoSpaceDE w:val="0"/>
        <w:autoSpaceDN w:val="0"/>
        <w:adjustRightInd w:val="0"/>
      </w:pPr>
      <w:r>
        <w:tab/>
      </w:r>
    </w:p>
    <w:p w14:paraId="3CBA1FE0" w14:textId="4B65BA21" w:rsidR="005B13E1" w:rsidRDefault="005B13E1">
      <w:pPr>
        <w:rPr>
          <w:u w:val="single"/>
        </w:rPr>
      </w:pPr>
    </w:p>
    <w:p w14:paraId="18A25118" w14:textId="77777777" w:rsidR="005B13E1" w:rsidRDefault="005B13E1">
      <w:pPr>
        <w:rPr>
          <w:u w:val="single"/>
        </w:rPr>
      </w:pPr>
    </w:p>
    <w:p w14:paraId="0278DA1A" w14:textId="77777777" w:rsidR="008E531B" w:rsidRDefault="008E531B" w:rsidP="00DB75CB">
      <w:pPr>
        <w:pStyle w:val="ListParagraph"/>
        <w:numPr>
          <w:ilvl w:val="0"/>
          <w:numId w:val="2"/>
        </w:numPr>
      </w:pPr>
      <w:r>
        <w:t>Essentially a way of making an observational study look a bit like a RCT.</w:t>
      </w:r>
    </w:p>
    <w:p w14:paraId="2506178B" w14:textId="77777777" w:rsidR="00A93A60" w:rsidRDefault="006826F7" w:rsidP="00A93A60">
      <w:pPr>
        <w:pStyle w:val="ListParagraph"/>
        <w:numPr>
          <w:ilvl w:val="0"/>
          <w:numId w:val="2"/>
        </w:numPr>
      </w:pPr>
      <w:r>
        <w:t>Assumes “no unmeasured confounders”</w:t>
      </w:r>
    </w:p>
    <w:p w14:paraId="7C0ED85C" w14:textId="2A0A68D0" w:rsidR="00190056" w:rsidRDefault="00A93A60" w:rsidP="00A93A60">
      <w:pPr>
        <w:pStyle w:val="ListParagraph"/>
        <w:numPr>
          <w:ilvl w:val="1"/>
          <w:numId w:val="2"/>
        </w:numPr>
      </w:pPr>
      <w:r>
        <w:t>So does regression for estimating treatment effects</w:t>
      </w:r>
      <w:r>
        <w:tab/>
      </w:r>
    </w:p>
    <w:p w14:paraId="1975B3A2" w14:textId="6D045A63" w:rsidR="00557162" w:rsidRDefault="00557162" w:rsidP="00557162">
      <w:pPr>
        <w:pStyle w:val="ListParagraph"/>
        <w:numPr>
          <w:ilvl w:val="0"/>
          <w:numId w:val="2"/>
        </w:numPr>
      </w:pPr>
      <w:r>
        <w:t>Most common method is logistic regression (treatment is the outcome and baseline characteristics are predictors)</w:t>
      </w:r>
    </w:p>
    <w:p w14:paraId="5B0C677F" w14:textId="61DFBA9D" w:rsidR="002F6431" w:rsidRDefault="002F6431" w:rsidP="002F6431">
      <w:pPr>
        <w:pStyle w:val="ListParagraph"/>
        <w:numPr>
          <w:ilvl w:val="1"/>
          <w:numId w:val="2"/>
        </w:numPr>
      </w:pPr>
      <w:r>
        <w:t>How to assess the propensity score mode</w:t>
      </w:r>
      <w:r w:rsidR="005B3F20">
        <w:t>l</w:t>
      </w:r>
      <w:r>
        <w:t>?</w:t>
      </w:r>
    </w:p>
    <w:p w14:paraId="5F070202" w14:textId="2074A9C4" w:rsidR="00784BD5" w:rsidRDefault="00784BD5" w:rsidP="00784BD5">
      <w:pPr>
        <w:pStyle w:val="ListParagraph"/>
        <w:numPr>
          <w:ilvl w:val="2"/>
          <w:numId w:val="2"/>
        </w:numPr>
      </w:pPr>
      <w:r>
        <w:t>No significance testing (too dependent on sample size)</w:t>
      </w:r>
    </w:p>
    <w:p w14:paraId="36A174FB" w14:textId="47DEF2BD" w:rsidR="00A3143A" w:rsidRDefault="00A3143A" w:rsidP="00784BD5">
      <w:pPr>
        <w:pStyle w:val="ListParagraph"/>
        <w:numPr>
          <w:ilvl w:val="2"/>
          <w:numId w:val="2"/>
        </w:numPr>
      </w:pPr>
      <w:r>
        <w:t>Only baseline, as treatment may affect post-baseline measures</w:t>
      </w:r>
    </w:p>
    <w:p w14:paraId="6C63C575" w14:textId="77777777" w:rsidR="00557162" w:rsidRDefault="00557162" w:rsidP="00557162">
      <w:pPr>
        <w:pStyle w:val="ListParagraph"/>
      </w:pPr>
    </w:p>
    <w:p w14:paraId="2ABCDEB1" w14:textId="77777777" w:rsidR="00B567BC" w:rsidRDefault="00190056" w:rsidP="00190056">
      <w:pPr>
        <w:pStyle w:val="ListParagraph"/>
        <w:numPr>
          <w:ilvl w:val="0"/>
          <w:numId w:val="2"/>
        </w:numPr>
      </w:pPr>
      <w:r>
        <w:t>One to one matching is the most common but not the only option</w:t>
      </w:r>
    </w:p>
    <w:p w14:paraId="20E7363F" w14:textId="77777777" w:rsidR="00BD4C5B" w:rsidRDefault="00B567BC" w:rsidP="004F1E75">
      <w:pPr>
        <w:pStyle w:val="ListParagraph"/>
        <w:numPr>
          <w:ilvl w:val="1"/>
          <w:numId w:val="2"/>
        </w:numPr>
      </w:pPr>
      <w:r>
        <w:t xml:space="preserve">Some debate on whether matched </w:t>
      </w:r>
      <w:r w:rsidR="00CA518E">
        <w:t>sample observations are independent</w:t>
      </w:r>
      <w:r w:rsidR="004F1E75">
        <w:t>. Austin argues “</w:t>
      </w:r>
      <w:r w:rsidR="004F1E75">
        <w:t>observed baseline covariates come from the same multivariate</w:t>
      </w:r>
      <w:r w:rsidR="004F1E75">
        <w:t xml:space="preserve"> </w:t>
      </w:r>
      <w:r w:rsidR="004F1E75">
        <w:t>distribution</w:t>
      </w:r>
      <w:r w:rsidR="004F1E75">
        <w:t>,</w:t>
      </w:r>
      <w:r w:rsidR="00D066A5">
        <w:t>”</w:t>
      </w:r>
      <w:r w:rsidR="004F1E75">
        <w:t xml:space="preserve"> therefore not independent.</w:t>
      </w:r>
    </w:p>
    <w:p w14:paraId="035643F9" w14:textId="77777777" w:rsidR="009A65A7" w:rsidRDefault="00BD4C5B" w:rsidP="009A65A7">
      <w:pPr>
        <w:pStyle w:val="ListParagraph"/>
        <w:numPr>
          <w:ilvl w:val="2"/>
          <w:numId w:val="2"/>
        </w:numPr>
      </w:pPr>
      <w:r>
        <w:t xml:space="preserve">Paired t test or </w:t>
      </w:r>
      <w:proofErr w:type="spellStart"/>
      <w:r>
        <w:t>McNemar’s</w:t>
      </w:r>
      <w:proofErr w:type="spellEnd"/>
    </w:p>
    <w:p w14:paraId="6B1E3A71" w14:textId="77777777" w:rsidR="00876B8A" w:rsidRDefault="009A65A7" w:rsidP="009A65A7">
      <w:pPr>
        <w:pStyle w:val="ListParagraph"/>
        <w:numPr>
          <w:ilvl w:val="1"/>
          <w:numId w:val="2"/>
        </w:numPr>
      </w:pPr>
      <w:r>
        <w:t>What is the best way to 1-1 match?</w:t>
      </w:r>
    </w:p>
    <w:p w14:paraId="31AF6243" w14:textId="77777777" w:rsidR="005A68E7" w:rsidRDefault="00876B8A" w:rsidP="005A68E7">
      <w:pPr>
        <w:pStyle w:val="ListParagraph"/>
        <w:numPr>
          <w:ilvl w:val="1"/>
          <w:numId w:val="2"/>
        </w:numPr>
      </w:pPr>
      <w:r>
        <w:t>SAS, R, and Stata</w:t>
      </w:r>
    </w:p>
    <w:p w14:paraId="289C247E" w14:textId="77777777" w:rsidR="009876B6" w:rsidRDefault="00F80B43" w:rsidP="00F80B43">
      <w:pPr>
        <w:pStyle w:val="ListParagraph"/>
        <w:numPr>
          <w:ilvl w:val="0"/>
          <w:numId w:val="2"/>
        </w:numPr>
      </w:pPr>
      <w:r>
        <w:lastRenderedPageBreak/>
        <w:t>Stratificatio</w:t>
      </w:r>
      <w:r w:rsidR="009876B6">
        <w:t>n on score</w:t>
      </w:r>
    </w:p>
    <w:p w14:paraId="5FCE5F99" w14:textId="77777777" w:rsidR="007D1975" w:rsidRDefault="00305CE3" w:rsidP="009876B6">
      <w:pPr>
        <w:pStyle w:val="ListParagraph"/>
        <w:numPr>
          <w:ilvl w:val="1"/>
          <w:numId w:val="2"/>
        </w:numPr>
      </w:pPr>
      <w:r>
        <w:t>Mutually exclusive subsets</w:t>
      </w:r>
    </w:p>
    <w:p w14:paraId="019E53BA" w14:textId="77777777" w:rsidR="0003174A" w:rsidRDefault="0003174A" w:rsidP="0003174A">
      <w:pPr>
        <w:pStyle w:val="ListParagraph"/>
        <w:numPr>
          <w:ilvl w:val="0"/>
          <w:numId w:val="2"/>
        </w:numPr>
      </w:pPr>
      <w:r>
        <w:t>IPTW</w:t>
      </w:r>
    </w:p>
    <w:p w14:paraId="2EA99379" w14:textId="77777777" w:rsidR="0003174A" w:rsidRDefault="0003174A" w:rsidP="0003174A">
      <w:pPr>
        <w:pStyle w:val="ListParagraph"/>
        <w:numPr>
          <w:ilvl w:val="0"/>
          <w:numId w:val="2"/>
        </w:numPr>
      </w:pPr>
      <w:r>
        <w:t>Covariate adjustment</w:t>
      </w:r>
    </w:p>
    <w:p w14:paraId="47726F68" w14:textId="2F1408FD" w:rsidR="000345F8" w:rsidRPr="00642BE1" w:rsidRDefault="000345F8" w:rsidP="0003174A">
      <w:pPr>
        <w:pStyle w:val="ListParagraph"/>
        <w:numPr>
          <w:ilvl w:val="0"/>
          <w:numId w:val="2"/>
        </w:numPr>
      </w:pPr>
      <w:r w:rsidRPr="005A68E7">
        <w:rPr>
          <w:i/>
        </w:rPr>
        <w:br w:type="page"/>
      </w:r>
    </w:p>
    <w:p w14:paraId="0C28B1D7" w14:textId="77777777" w:rsidR="000345F8" w:rsidRPr="0022216B" w:rsidRDefault="000345F8" w:rsidP="000345F8">
      <w:pPr>
        <w:numPr>
          <w:ilvl w:val="0"/>
          <w:numId w:val="1"/>
        </w:numPr>
        <w:rPr>
          <w:sz w:val="22"/>
          <w:szCs w:val="22"/>
        </w:rPr>
      </w:pPr>
      <w:r w:rsidRPr="0022216B">
        <w:rPr>
          <w:sz w:val="22"/>
          <w:szCs w:val="22"/>
        </w:rPr>
        <w:lastRenderedPageBreak/>
        <w:t>Introduction – description of the issues, when they arise, and why it is challenging or interesting. (1 point)</w:t>
      </w:r>
    </w:p>
    <w:p w14:paraId="103B3C68" w14:textId="77777777" w:rsidR="000345F8" w:rsidRPr="0022216B" w:rsidRDefault="000345F8" w:rsidP="000345F8">
      <w:pPr>
        <w:numPr>
          <w:ilvl w:val="0"/>
          <w:numId w:val="1"/>
        </w:numPr>
        <w:rPr>
          <w:sz w:val="22"/>
          <w:szCs w:val="22"/>
        </w:rPr>
      </w:pPr>
      <w:r w:rsidRPr="0022216B">
        <w:rPr>
          <w:sz w:val="22"/>
          <w:szCs w:val="22"/>
        </w:rPr>
        <w:t>Methods – description of one or more standard approaches, including relevant literature (e.g. a few papers) and how to carry out the methods (e.g. steps, software). (2.5 points)</w:t>
      </w:r>
    </w:p>
    <w:p w14:paraId="4B891734" w14:textId="77777777" w:rsidR="000345F8" w:rsidRPr="0022216B" w:rsidRDefault="000345F8" w:rsidP="000345F8">
      <w:pPr>
        <w:numPr>
          <w:ilvl w:val="0"/>
          <w:numId w:val="1"/>
        </w:numPr>
        <w:rPr>
          <w:sz w:val="22"/>
          <w:szCs w:val="22"/>
        </w:rPr>
      </w:pPr>
      <w:r w:rsidRPr="0022216B">
        <w:rPr>
          <w:sz w:val="22"/>
          <w:szCs w:val="22"/>
        </w:rPr>
        <w:t>Results – example(s) of carrying out the methods in real situations like the group might encounter.  A real or hypothetical data example and analysis can be effective in some cases. (2.5 points)</w:t>
      </w:r>
    </w:p>
    <w:p w14:paraId="654C1349" w14:textId="77777777" w:rsidR="000345F8" w:rsidRPr="0022216B" w:rsidRDefault="000345F8" w:rsidP="000345F8">
      <w:pPr>
        <w:numPr>
          <w:ilvl w:val="0"/>
          <w:numId w:val="1"/>
        </w:numPr>
        <w:rPr>
          <w:sz w:val="22"/>
          <w:szCs w:val="22"/>
        </w:rPr>
      </w:pPr>
      <w:r w:rsidRPr="0022216B">
        <w:rPr>
          <w:sz w:val="22"/>
          <w:szCs w:val="22"/>
        </w:rPr>
        <w:t>Issues, Controversies, alternate approaches – any controversies or advantages/disadvantages to various approaches, alternate approaches. (1 point)</w:t>
      </w:r>
    </w:p>
    <w:p w14:paraId="44B8F695" w14:textId="77777777" w:rsidR="00E65C7D" w:rsidRDefault="000345F8" w:rsidP="00E65C7D">
      <w:pPr>
        <w:pStyle w:val="EndNoteBibliography"/>
        <w:ind w:left="720" w:hanging="720"/>
        <w:rPr>
          <w:sz w:val="22"/>
          <w:szCs w:val="22"/>
        </w:rPr>
      </w:pPr>
      <w:r w:rsidRPr="0022216B">
        <w:rPr>
          <w:sz w:val="22"/>
          <w:szCs w:val="22"/>
        </w:rPr>
        <w:t>Summary, conclusions, and recommendations – take-away messages, key references. (1 point)</w:t>
      </w:r>
    </w:p>
    <w:p w14:paraId="3B7326CB" w14:textId="168A3733" w:rsidR="00E65C7D" w:rsidRDefault="00E65C7D">
      <w:pPr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br w:type="page"/>
      </w:r>
    </w:p>
    <w:p w14:paraId="4F74503B" w14:textId="334F6C06" w:rsidR="00E65C7D" w:rsidRPr="00E65C7D" w:rsidRDefault="00E65C7D" w:rsidP="00E65C7D">
      <w:pPr>
        <w:pStyle w:val="EndNoteBibliography"/>
        <w:ind w:left="720" w:hanging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References</w:t>
      </w:r>
    </w:p>
    <w:p w14:paraId="14A2ACBF" w14:textId="77777777" w:rsidR="00564C59" w:rsidRPr="00564C59" w:rsidRDefault="00E12C55" w:rsidP="00564C59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564C59" w:rsidRPr="00564C59">
        <w:rPr>
          <w:noProof/>
        </w:rPr>
        <w:t>1.</w:t>
      </w:r>
      <w:r w:rsidR="00564C59" w:rsidRPr="00564C59">
        <w:rPr>
          <w:noProof/>
        </w:rPr>
        <w:tab/>
        <w:t xml:space="preserve">Austin, P.C., </w:t>
      </w:r>
      <w:r w:rsidR="00564C59" w:rsidRPr="00564C59">
        <w:rPr>
          <w:i/>
          <w:noProof/>
        </w:rPr>
        <w:t>An Introduction to Propensity Score Methods for Reducing the Effects of Confounding in Observational Studies.</w:t>
      </w:r>
      <w:r w:rsidR="00564C59" w:rsidRPr="00564C59">
        <w:rPr>
          <w:noProof/>
        </w:rPr>
        <w:t xml:space="preserve"> Multivariate Behav Res, 2011. </w:t>
      </w:r>
      <w:r w:rsidR="00564C59" w:rsidRPr="00564C59">
        <w:rPr>
          <w:b/>
          <w:noProof/>
        </w:rPr>
        <w:t>46</w:t>
      </w:r>
      <w:r w:rsidR="00564C59" w:rsidRPr="00564C59">
        <w:rPr>
          <w:noProof/>
        </w:rPr>
        <w:t>(3): p. 399-424.</w:t>
      </w:r>
    </w:p>
    <w:p w14:paraId="37E6DB87" w14:textId="77777777" w:rsidR="00564C59" w:rsidRPr="00564C59" w:rsidRDefault="00564C59" w:rsidP="00564C59">
      <w:pPr>
        <w:pStyle w:val="EndNoteBibliography"/>
        <w:ind w:left="720" w:hanging="720"/>
        <w:rPr>
          <w:noProof/>
        </w:rPr>
      </w:pPr>
      <w:r w:rsidRPr="00564C59">
        <w:rPr>
          <w:noProof/>
        </w:rPr>
        <w:t>2.</w:t>
      </w:r>
      <w:r w:rsidRPr="00564C59">
        <w:rPr>
          <w:noProof/>
        </w:rPr>
        <w:tab/>
        <w:t xml:space="preserve">Rosenbaum, P.R. and D.B. Rubin, </w:t>
      </w:r>
      <w:r w:rsidRPr="00564C59">
        <w:rPr>
          <w:i/>
          <w:noProof/>
        </w:rPr>
        <w:t>The central role of the propensity score in observational studies for causal effects.</w:t>
      </w:r>
      <w:r w:rsidRPr="00564C59">
        <w:rPr>
          <w:noProof/>
        </w:rPr>
        <w:t xml:space="preserve"> Biometrika, 1983. </w:t>
      </w:r>
      <w:r w:rsidRPr="00564C59">
        <w:rPr>
          <w:b/>
          <w:noProof/>
        </w:rPr>
        <w:t>70</w:t>
      </w:r>
      <w:r w:rsidRPr="00564C59">
        <w:rPr>
          <w:noProof/>
        </w:rPr>
        <w:t>(1): p. 41-55.</w:t>
      </w:r>
    </w:p>
    <w:p w14:paraId="5B9C5B29" w14:textId="3E50AC18" w:rsidR="009C4645" w:rsidRPr="00A35DED" w:rsidRDefault="00E12C55" w:rsidP="00E65C7D">
      <w:pPr>
        <w:rPr>
          <w:sz w:val="22"/>
          <w:szCs w:val="22"/>
        </w:rPr>
      </w:pPr>
      <w:r>
        <w:fldChar w:fldCharType="end"/>
      </w:r>
    </w:p>
    <w:sectPr w:rsidR="009C4645" w:rsidRPr="00A35DED" w:rsidSect="00E0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0470"/>
    <w:multiLevelType w:val="hybridMultilevel"/>
    <w:tmpl w:val="0C9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573A"/>
    <w:multiLevelType w:val="hybridMultilevel"/>
    <w:tmpl w:val="F3A22B7C"/>
    <w:lvl w:ilvl="0" w:tplc="6C649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29zdf2jtrssoeeeav5rdpy5eps2999fdr9&quot;&gt;My EndNote Library&lt;record-ids&gt;&lt;item&gt;79&lt;/item&gt;&lt;item&gt;85&lt;/item&gt;&lt;/record-ids&gt;&lt;/item&gt;&lt;/Libraries&gt;"/>
  </w:docVars>
  <w:rsids>
    <w:rsidRoot w:val="00E0178D"/>
    <w:rsid w:val="00005CDA"/>
    <w:rsid w:val="00012406"/>
    <w:rsid w:val="00017B5B"/>
    <w:rsid w:val="0003174A"/>
    <w:rsid w:val="000344A7"/>
    <w:rsid w:val="000345F8"/>
    <w:rsid w:val="00071453"/>
    <w:rsid w:val="00073A85"/>
    <w:rsid w:val="000A5A0D"/>
    <w:rsid w:val="000C2011"/>
    <w:rsid w:val="000E69C0"/>
    <w:rsid w:val="000F4F30"/>
    <w:rsid w:val="000F6C4A"/>
    <w:rsid w:val="0012250F"/>
    <w:rsid w:val="00135CA6"/>
    <w:rsid w:val="001460E8"/>
    <w:rsid w:val="00182094"/>
    <w:rsid w:val="00190056"/>
    <w:rsid w:val="001A05D5"/>
    <w:rsid w:val="001B72C1"/>
    <w:rsid w:val="001C7CC8"/>
    <w:rsid w:val="00233849"/>
    <w:rsid w:val="00237339"/>
    <w:rsid w:val="00242CB4"/>
    <w:rsid w:val="00273446"/>
    <w:rsid w:val="002B29B2"/>
    <w:rsid w:val="002D39F0"/>
    <w:rsid w:val="002E4CB1"/>
    <w:rsid w:val="002F634D"/>
    <w:rsid w:val="002F6431"/>
    <w:rsid w:val="002F7C95"/>
    <w:rsid w:val="00305CE3"/>
    <w:rsid w:val="003449D4"/>
    <w:rsid w:val="0035647B"/>
    <w:rsid w:val="003A301D"/>
    <w:rsid w:val="003A327D"/>
    <w:rsid w:val="003C5723"/>
    <w:rsid w:val="003C7740"/>
    <w:rsid w:val="003D389E"/>
    <w:rsid w:val="004127AF"/>
    <w:rsid w:val="0042528C"/>
    <w:rsid w:val="00487ED8"/>
    <w:rsid w:val="0049578A"/>
    <w:rsid w:val="004A63DA"/>
    <w:rsid w:val="004B752B"/>
    <w:rsid w:val="004D2044"/>
    <w:rsid w:val="004F1E75"/>
    <w:rsid w:val="004F72E2"/>
    <w:rsid w:val="00502B39"/>
    <w:rsid w:val="00513713"/>
    <w:rsid w:val="00536AA0"/>
    <w:rsid w:val="00557162"/>
    <w:rsid w:val="00564C59"/>
    <w:rsid w:val="00577BE4"/>
    <w:rsid w:val="0058212B"/>
    <w:rsid w:val="005A68E7"/>
    <w:rsid w:val="005B13E1"/>
    <w:rsid w:val="005B19DC"/>
    <w:rsid w:val="005B3F20"/>
    <w:rsid w:val="005D7562"/>
    <w:rsid w:val="0060008F"/>
    <w:rsid w:val="006202D8"/>
    <w:rsid w:val="0062207C"/>
    <w:rsid w:val="00642BE1"/>
    <w:rsid w:val="00647A13"/>
    <w:rsid w:val="006826F7"/>
    <w:rsid w:val="006A0661"/>
    <w:rsid w:val="006A63DB"/>
    <w:rsid w:val="006F0484"/>
    <w:rsid w:val="006F1C3C"/>
    <w:rsid w:val="0075742C"/>
    <w:rsid w:val="00774F22"/>
    <w:rsid w:val="00784BD5"/>
    <w:rsid w:val="007B073A"/>
    <w:rsid w:val="007B5C70"/>
    <w:rsid w:val="007D1975"/>
    <w:rsid w:val="00876B8A"/>
    <w:rsid w:val="00884763"/>
    <w:rsid w:val="00895A1E"/>
    <w:rsid w:val="008D2D0F"/>
    <w:rsid w:val="008E531B"/>
    <w:rsid w:val="009443BB"/>
    <w:rsid w:val="00947F58"/>
    <w:rsid w:val="009515F8"/>
    <w:rsid w:val="00984D13"/>
    <w:rsid w:val="009876B6"/>
    <w:rsid w:val="009A65A7"/>
    <w:rsid w:val="009C4645"/>
    <w:rsid w:val="009E7378"/>
    <w:rsid w:val="009F6692"/>
    <w:rsid w:val="00A13BF2"/>
    <w:rsid w:val="00A219D8"/>
    <w:rsid w:val="00A24944"/>
    <w:rsid w:val="00A3143A"/>
    <w:rsid w:val="00A35DED"/>
    <w:rsid w:val="00A51C6F"/>
    <w:rsid w:val="00A93A60"/>
    <w:rsid w:val="00A97D71"/>
    <w:rsid w:val="00AD489A"/>
    <w:rsid w:val="00AE6034"/>
    <w:rsid w:val="00B1566D"/>
    <w:rsid w:val="00B15ED9"/>
    <w:rsid w:val="00B202FA"/>
    <w:rsid w:val="00B21528"/>
    <w:rsid w:val="00B567BC"/>
    <w:rsid w:val="00B86421"/>
    <w:rsid w:val="00BC2A05"/>
    <w:rsid w:val="00BC7920"/>
    <w:rsid w:val="00BD4C5B"/>
    <w:rsid w:val="00BF48A2"/>
    <w:rsid w:val="00C16F30"/>
    <w:rsid w:val="00C271F4"/>
    <w:rsid w:val="00C36DD0"/>
    <w:rsid w:val="00C77BB0"/>
    <w:rsid w:val="00CA518E"/>
    <w:rsid w:val="00D005C9"/>
    <w:rsid w:val="00D0392B"/>
    <w:rsid w:val="00D066A5"/>
    <w:rsid w:val="00D353FF"/>
    <w:rsid w:val="00D51353"/>
    <w:rsid w:val="00D543C8"/>
    <w:rsid w:val="00D55488"/>
    <w:rsid w:val="00D65243"/>
    <w:rsid w:val="00D8565D"/>
    <w:rsid w:val="00DB75CB"/>
    <w:rsid w:val="00E0178D"/>
    <w:rsid w:val="00E04A0A"/>
    <w:rsid w:val="00E12C55"/>
    <w:rsid w:val="00E65C7D"/>
    <w:rsid w:val="00E81130"/>
    <w:rsid w:val="00E86F5A"/>
    <w:rsid w:val="00EA4ABB"/>
    <w:rsid w:val="00EC75F3"/>
    <w:rsid w:val="00F065A5"/>
    <w:rsid w:val="00F24AA1"/>
    <w:rsid w:val="00F27F6F"/>
    <w:rsid w:val="00F80B43"/>
    <w:rsid w:val="00FD0346"/>
    <w:rsid w:val="00FE53CA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E6AD"/>
  <w15:chartTrackingRefBased/>
  <w15:docId w15:val="{C6452FBB-C833-1C40-855E-870A032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12C55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2C55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E12C55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E12C55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131</cp:revision>
  <dcterms:created xsi:type="dcterms:W3CDTF">2019-03-24T15:50:00Z</dcterms:created>
  <dcterms:modified xsi:type="dcterms:W3CDTF">2019-03-24T19:59:00Z</dcterms:modified>
</cp:coreProperties>
</file>