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8</w:t>
      </w:r>
    </w:p>
    <w:p>
      <w:pPr>
        <w:pStyle w:val="Author"/>
      </w:pPr>
      <w:r>
        <w:t xml:space="preserve">Tim</w:t>
      </w:r>
      <w:r>
        <w:t xml:space="preserve"> </w:t>
      </w:r>
      <w:r>
        <w:t xml:space="preserve">Vigers</w:t>
      </w:r>
    </w:p>
    <w:p>
      <w:pPr>
        <w:pStyle w:val="Date"/>
      </w:pPr>
      <w:r>
        <w:t xml:space="preserve">22</w:t>
      </w:r>
      <w:r>
        <w:t xml:space="preserve"> </w:t>
      </w:r>
      <w:r>
        <w:t xml:space="preserve">November</w:t>
      </w:r>
      <w:r>
        <w:t xml:space="preserve"> </w:t>
      </w:r>
      <w:r>
        <w:t xml:space="preserve">2020</w:t>
      </w:r>
    </w:p>
    <w:p>
      <w:pPr>
        <w:pStyle w:val="Heading1"/>
      </w:pPr>
      <w:bookmarkStart w:id="20" w:name="cell-type-composition"/>
      <w:r>
        <w:t xml:space="preserve">1. Cell-Type Composition</w:t>
      </w:r>
      <w:bookmarkEnd w:id="20"/>
    </w:p>
    <w:p>
      <w:pPr>
        <w:pStyle w:val="FirstParagraph"/>
      </w:pPr>
      <w:r>
        <w:t xml:space="preserve">Read in the data:</w:t>
      </w:r>
    </w:p>
    <w:p>
      <w:pPr>
        <w:pStyle w:val="SourceCode"/>
      </w:pPr>
      <w:r>
        <w:rPr>
          <w:rStyle w:val="NormalTok"/>
        </w:rPr>
        <w:t xml:space="preserve">baseDir1 =</w:t>
      </w:r>
      <w:r>
        <w:rPr>
          <w:rStyle w:val="StringTok"/>
        </w:rPr>
        <w:t xml:space="preserve"> "blood/plate1"</w:t>
      </w:r>
      <w:r>
        <w:br/>
      </w:r>
      <w:r>
        <w:rPr>
          <w:rStyle w:val="NormalTok"/>
        </w:rPr>
        <w:t xml:space="preserve">targets1 =</w:t>
      </w:r>
      <w:r>
        <w:rPr>
          <w:rStyle w:val="StringTok"/>
        </w:rPr>
        <w:t xml:space="preserve"> </w:t>
      </w:r>
      <w:r>
        <w:rPr>
          <w:rStyle w:val="KeywordTok"/>
        </w:rPr>
        <w:t xml:space="preserve">read.metharray.sheet</w:t>
      </w:r>
      <w:r>
        <w:rPr>
          <w:rStyle w:val="NormalTok"/>
        </w:rPr>
        <w:t xml:space="preserve">(baseDir1)</w:t>
      </w:r>
    </w:p>
    <w:p>
      <w:pPr>
        <w:pStyle w:val="SourceCode"/>
      </w:pPr>
      <w:r>
        <w:rPr>
          <w:rStyle w:val="VerbatimChar"/>
        </w:rPr>
        <w:t xml:space="preserve">## [1] "blood/plate1/selected_plate1.csv"</w:t>
      </w:r>
    </w:p>
    <w:p>
      <w:pPr>
        <w:pStyle w:val="SourceCode"/>
      </w:pPr>
      <w:r>
        <w:rPr>
          <w:rStyle w:val="NormalTok"/>
        </w:rPr>
        <w:t xml:space="preserve">baseDir2 =</w:t>
      </w:r>
      <w:r>
        <w:rPr>
          <w:rStyle w:val="StringTok"/>
        </w:rPr>
        <w:t xml:space="preserve"> "blood/plate2"</w:t>
      </w:r>
      <w:r>
        <w:br/>
      </w:r>
      <w:r>
        <w:rPr>
          <w:rStyle w:val="NormalTok"/>
        </w:rPr>
        <w:t xml:space="preserve">targets2 =</w:t>
      </w:r>
      <w:r>
        <w:rPr>
          <w:rStyle w:val="StringTok"/>
        </w:rPr>
        <w:t xml:space="preserve"> </w:t>
      </w:r>
      <w:r>
        <w:rPr>
          <w:rStyle w:val="KeywordTok"/>
        </w:rPr>
        <w:t xml:space="preserve">read.metharray.sheet</w:t>
      </w:r>
      <w:r>
        <w:rPr>
          <w:rStyle w:val="NormalTok"/>
        </w:rPr>
        <w:t xml:space="preserve">(baseDir2)</w:t>
      </w:r>
    </w:p>
    <w:p>
      <w:pPr>
        <w:pStyle w:val="SourceCode"/>
      </w:pPr>
      <w:r>
        <w:rPr>
          <w:rStyle w:val="VerbatimChar"/>
        </w:rPr>
        <w:t xml:space="preserve">## [1] "blood/plate2/selected_plate2.csv"</w:t>
      </w:r>
    </w:p>
    <w:p>
      <w:pPr>
        <w:pStyle w:val="SourceCode"/>
      </w:pPr>
      <w:r>
        <w:rPr>
          <w:rStyle w:val="NormalTok"/>
        </w:rPr>
        <w:t xml:space="preserve">targets =</w:t>
      </w:r>
      <w:r>
        <w:rPr>
          <w:rStyle w:val="StringTok"/>
        </w:rPr>
        <w:t xml:space="preserve"> </w:t>
      </w:r>
      <w:r>
        <w:rPr>
          <w:rStyle w:val="KeywordTok"/>
        </w:rPr>
        <w:t xml:space="preserve">rbind</w:t>
      </w:r>
      <w:r>
        <w:rPr>
          <w:rStyle w:val="NormalTok"/>
        </w:rPr>
        <w:t xml:space="preserve">(targets1, targets2)</w:t>
      </w:r>
      <w:r>
        <w:br/>
      </w:r>
      <w:r>
        <w:rPr>
          <w:rStyle w:val="NormalTok"/>
        </w:rPr>
        <w:t xml:space="preserve">rgSet =</w:t>
      </w:r>
      <w:r>
        <w:rPr>
          <w:rStyle w:val="StringTok"/>
        </w:rPr>
        <w:t xml:space="preserve"> </w:t>
      </w:r>
      <w:r>
        <w:rPr>
          <w:rStyle w:val="KeywordTok"/>
        </w:rPr>
        <w:t xml:space="preserve">read.metharray.exp</w:t>
      </w:r>
      <w:r>
        <w:rPr>
          <w:rStyle w:val="NormalTok"/>
        </w:rPr>
        <w:t xml:space="preserve">(</w:t>
      </w:r>
      <w:r>
        <w:rPr>
          <w:rStyle w:val="DataTypeTok"/>
        </w:rPr>
        <w:t xml:space="preserve">targets=</w:t>
      </w:r>
      <w:r>
        <w:rPr>
          <w:rStyle w:val="NormalTok"/>
        </w:rPr>
        <w:t xml:space="preserve">targets,</w:t>
      </w:r>
      <w:r>
        <w:rPr>
          <w:rStyle w:val="DataTypeTok"/>
        </w:rPr>
        <w:t xml:space="preserve">extended=</w:t>
      </w:r>
      <w:r>
        <w:rPr>
          <w:rStyle w:val="NormalTok"/>
        </w:rPr>
        <w:t xml:space="preserve">T)</w:t>
      </w:r>
      <w:r>
        <w:br/>
      </w:r>
      <w:r>
        <w:rPr>
          <w:rStyle w:val="KeywordTok"/>
        </w:rPr>
        <w:t xml:space="preserve">sampleNames</w:t>
      </w:r>
      <w:r>
        <w:rPr>
          <w:rStyle w:val="NormalTok"/>
        </w:rPr>
        <w:t xml:space="preserve">(rgSet) =</w:t>
      </w:r>
      <w:r>
        <w:rPr>
          <w:rStyle w:val="StringTok"/>
        </w:rPr>
        <w:t xml:space="preserve"> </w:t>
      </w:r>
      <w:r>
        <w:rPr>
          <w:rStyle w:val="NormalTok"/>
        </w:rPr>
        <w:t xml:space="preserve">rgSet[[</w:t>
      </w:r>
      <w:r>
        <w:rPr>
          <w:rStyle w:val="DecValTok"/>
        </w:rPr>
        <w:t xml:space="preserve">1</w:t>
      </w:r>
      <w:r>
        <w:rPr>
          <w:rStyle w:val="NormalTok"/>
        </w:rPr>
        <w:t xml:space="preserve">]]</w:t>
      </w:r>
      <w:r>
        <w:br/>
      </w:r>
      <w:r>
        <w:rPr>
          <w:rStyle w:val="KeywordTok"/>
        </w:rPr>
        <w:t xml:space="preserve">getManifest</w:t>
      </w:r>
      <w:r>
        <w:rPr>
          <w:rStyle w:val="NormalTok"/>
        </w:rPr>
        <w:t xml:space="preserve">(rgSet)</w:t>
      </w:r>
    </w:p>
    <w:p>
      <w:pPr>
        <w:pStyle w:val="SourceCode"/>
      </w:pPr>
      <w:r>
        <w:rPr>
          <w:rStyle w:val="VerbatimChar"/>
        </w:rPr>
        <w:t xml:space="preserve">## IlluminaMethylationManifest object</w:t>
      </w:r>
      <w:r>
        <w:br/>
      </w:r>
      <w:r>
        <w:rPr>
          <w:rStyle w:val="VerbatimChar"/>
        </w:rPr>
        <w:t xml:space="preserve">## Annotation</w:t>
      </w:r>
      <w:r>
        <w:br/>
      </w:r>
      <w:r>
        <w:rPr>
          <w:rStyle w:val="VerbatimChar"/>
        </w:rPr>
        <w:t xml:space="preserve">##   array: IlluminaHumanMethylation450k</w:t>
      </w:r>
      <w:r>
        <w:br/>
      </w:r>
      <w:r>
        <w:rPr>
          <w:rStyle w:val="VerbatimChar"/>
        </w:rPr>
        <w:t xml:space="preserve">## Number of type I probes: 135476 </w:t>
      </w:r>
      <w:r>
        <w:br/>
      </w:r>
      <w:r>
        <w:rPr>
          <w:rStyle w:val="VerbatimChar"/>
        </w:rPr>
        <w:t xml:space="preserve">## Number of type II probes: 350036 </w:t>
      </w:r>
      <w:r>
        <w:br/>
      </w:r>
      <w:r>
        <w:rPr>
          <w:rStyle w:val="VerbatimChar"/>
        </w:rPr>
        <w:t xml:space="preserve">## Number of control probes: 850 </w:t>
      </w:r>
      <w:r>
        <w:br/>
      </w:r>
      <w:r>
        <w:rPr>
          <w:rStyle w:val="VerbatimChar"/>
        </w:rPr>
        <w:t xml:space="preserve">## Number of SNP type I probes: 25 </w:t>
      </w:r>
      <w:r>
        <w:br/>
      </w:r>
      <w:r>
        <w:rPr>
          <w:rStyle w:val="VerbatimChar"/>
        </w:rPr>
        <w:t xml:space="preserve">## Number of SNP type II probes: 40</w:t>
      </w:r>
    </w:p>
    <w:p>
      <w:pPr>
        <w:pStyle w:val="SourceCode"/>
      </w:pPr>
      <w:r>
        <w:rPr>
          <w:rStyle w:val="NormalTok"/>
        </w:rPr>
        <w:t xml:space="preserve">clindat =</w:t>
      </w:r>
      <w:r>
        <w:rPr>
          <w:rStyle w:val="StringTok"/>
        </w:rPr>
        <w:t xml:space="preserve"> </w:t>
      </w:r>
      <w:r>
        <w:rPr>
          <w:rStyle w:val="KeywordTok"/>
        </w:rPr>
        <w:t xml:space="preserve">read.table</w:t>
      </w:r>
      <w:r>
        <w:rPr>
          <w:rStyle w:val="NormalTok"/>
        </w:rPr>
        <w:t xml:space="preserve">(</w:t>
      </w:r>
      <w:r>
        <w:rPr>
          <w:rStyle w:val="StringTok"/>
        </w:rPr>
        <w:t xml:space="preserve">"blood/demographic.txt"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w:t>
      </w:r>
      <w:r>
        <w:br/>
      </w:r>
      <w:r>
        <w:rPr>
          <w:rStyle w:val="KeywordTok"/>
        </w:rPr>
        <w:t xml:space="preserve">pData</w:t>
      </w:r>
      <w:r>
        <w:rPr>
          <w:rStyle w:val="NormalTok"/>
        </w:rPr>
        <w:t xml:space="preserve">(rgSet)</w:t>
      </w:r>
      <w:r>
        <w:rPr>
          <w:rStyle w:val="OperatorTok"/>
        </w:rPr>
        <w:t xml:space="preserve">$</w:t>
      </w:r>
      <w:r>
        <w:rPr>
          <w:rStyle w:val="NormalTok"/>
        </w:rPr>
        <w:t xml:space="preserve">Sample_Group =</w:t>
      </w:r>
      <w:r>
        <w:rPr>
          <w:rStyle w:val="StringTok"/>
        </w:rPr>
        <w:t xml:space="preserve"> </w:t>
      </w:r>
      <w:r>
        <w:rPr>
          <w:rStyle w:val="NormalTok"/>
        </w:rPr>
        <w:t xml:space="preserve">clindat</w:t>
      </w:r>
      <w:r>
        <w:rPr>
          <w:rStyle w:val="OperatorTok"/>
        </w:rPr>
        <w:t xml:space="preserve">$</w:t>
      </w:r>
      <w:r>
        <w:rPr>
          <w:rStyle w:val="NormalTok"/>
        </w:rPr>
        <w:t xml:space="preserve">Exposure</w:t>
      </w:r>
      <w:r>
        <w:br/>
      </w:r>
      <w:r>
        <w:rPr>
          <w:rStyle w:val="KeywordTok"/>
        </w:rPr>
        <w:t xml:space="preserve">pData</w:t>
      </w:r>
      <w:r>
        <w:rPr>
          <w:rStyle w:val="NormalTok"/>
        </w:rPr>
        <w:t xml:space="preserve">(rgSet)</w:t>
      </w:r>
      <w:r>
        <w:rPr>
          <w:rStyle w:val="OperatorTok"/>
        </w:rPr>
        <w:t xml:space="preserve">$</w:t>
      </w:r>
      <w:r>
        <w:rPr>
          <w:rStyle w:val="NormalTok"/>
        </w:rPr>
        <w:t xml:space="preserve">child_sex =</w:t>
      </w:r>
      <w:r>
        <w:rPr>
          <w:rStyle w:val="StringTok"/>
        </w:rPr>
        <w:t xml:space="preserve"> </w:t>
      </w:r>
      <w:r>
        <w:rPr>
          <w:rStyle w:val="NormalTok"/>
        </w:rPr>
        <w:t xml:space="preserve">clindat</w:t>
      </w:r>
      <w:r>
        <w:rPr>
          <w:rStyle w:val="OperatorTok"/>
        </w:rPr>
        <w:t xml:space="preserve">$</w:t>
      </w:r>
      <w:r>
        <w:rPr>
          <w:rStyle w:val="NormalTok"/>
        </w:rPr>
        <w:t xml:space="preserve">child_sex</w:t>
      </w:r>
    </w:p>
    <w:p>
      <w:pPr>
        <w:pStyle w:val="Heading2"/>
      </w:pPr>
      <w:bookmarkStart w:id="21" w:name="X40af75486e7bcb8ee1b575c776b4fe6708ca48e"/>
      <w:r>
        <w:t xml:space="preserve">a) Find differentially methylated positions based on exposure status</w:t>
      </w:r>
      <w:bookmarkEnd w:id="21"/>
    </w:p>
    <w:p>
      <w:pPr>
        <w:pStyle w:val="SourceCode"/>
      </w:pPr>
      <w:r>
        <w:rPr>
          <w:rStyle w:val="CommentTok"/>
        </w:rPr>
        <w:t xml:space="preserve"># SWAN normalization</w:t>
      </w:r>
      <w:r>
        <w:br/>
      </w:r>
      <w:r>
        <w:rPr>
          <w:rStyle w:val="NormalTok"/>
        </w:rPr>
        <w:t xml:space="preserve">msetSWAN =</w:t>
      </w:r>
      <w:r>
        <w:rPr>
          <w:rStyle w:val="StringTok"/>
        </w:rPr>
        <w:t xml:space="preserve"> </w:t>
      </w:r>
      <w:r>
        <w:rPr>
          <w:rStyle w:val="KeywordTok"/>
        </w:rPr>
        <w:t xml:space="preserve">preprocessSWAN</w:t>
      </w:r>
      <w:r>
        <w:rPr>
          <w:rStyle w:val="NormalTok"/>
        </w:rPr>
        <w:t xml:space="preserve">(rgSet)</w:t>
      </w:r>
      <w:r>
        <w:br/>
      </w:r>
      <w:r>
        <w:rPr>
          <w:rStyle w:val="NormalTok"/>
        </w:rPr>
        <w:t xml:space="preserve">dmp =</w:t>
      </w:r>
      <w:r>
        <w:rPr>
          <w:rStyle w:val="StringTok"/>
        </w:rPr>
        <w:t xml:space="preserve"> </w:t>
      </w:r>
      <w:r>
        <w:rPr>
          <w:rStyle w:val="KeywordTok"/>
        </w:rPr>
        <w:t xml:space="preserve">dmpFinder</w:t>
      </w:r>
      <w:r>
        <w:rPr>
          <w:rStyle w:val="NormalTok"/>
        </w:rPr>
        <w:t xml:space="preserve">(msetSWAN,</w:t>
      </w:r>
      <w:r>
        <w:rPr>
          <w:rStyle w:val="DataTypeTok"/>
        </w:rPr>
        <w:t xml:space="preserve">pheno =</w:t>
      </w:r>
      <w:r>
        <w:rPr>
          <w:rStyle w:val="NormalTok"/>
        </w:rPr>
        <w:t xml:space="preserve"> msetSWAN</w:t>
      </w:r>
      <w:r>
        <w:rPr>
          <w:rStyle w:val="OperatorTok"/>
        </w:rPr>
        <w:t xml:space="preserve">$</w:t>
      </w:r>
      <w:r>
        <w:rPr>
          <w:rStyle w:val="NormalTok"/>
        </w:rPr>
        <w:t xml:space="preserve">Sample_Group,</w:t>
      </w:r>
      <w:r>
        <w:rPr>
          <w:rStyle w:val="DataTypeTok"/>
        </w:rPr>
        <w:t xml:space="preserve">type =</w:t>
      </w:r>
      <w:r>
        <w:rPr>
          <w:rStyle w:val="NormalTok"/>
        </w:rPr>
        <w:t xml:space="preserve"> </w:t>
      </w:r>
      <w:r>
        <w:rPr>
          <w:rStyle w:val="StringTok"/>
        </w:rPr>
        <w:t xml:space="preserve">"continuous"</w:t>
      </w:r>
      <w:r>
        <w:rPr>
          <w:rStyle w:val="NormalTok"/>
        </w:rPr>
        <w:t xml:space="preserve">)</w:t>
      </w:r>
    </w:p>
    <w:p>
      <w:pPr>
        <w:pStyle w:val="FirstParagraph"/>
      </w:pPr>
      <w:r>
        <w:t xml:space="preserve">Here the unexposed group is the reference, so a negative value of beta in the DMP table indicates that the probe was hypomethylated in the exposed group (and a positive value indicates hypermethylation). There are no probes significant at the</w:t>
      </w:r>
      <w:r>
        <w:t xml:space="preserve"> </w:t>
      </w:r>
      <m:oMath>
        <m:r>
          <m:t>q</m:t>
        </m:r>
        <m:r>
          <m:t>&lt;</m:t>
        </m:r>
        <m:r>
          <m:t>0.1</m:t>
        </m:r>
      </m:oMath>
      <w:r>
        <w:t xml:space="preserve"> </w:t>
      </w:r>
      <w:r>
        <w:t xml:space="preserve">level, but there are 4 significant at the</w:t>
      </w:r>
      <w:r>
        <w:t xml:space="preserve"> </w:t>
      </w:r>
      <m:oMath>
        <m:r>
          <m:t>p</m:t>
        </m:r>
        <m:r>
          <m:t>&lt;</m:t>
        </m:r>
        <m:sSup>
          <m:e>
            <m:r>
              <m:t>10</m:t>
            </m:r>
          </m:e>
          <m:sup>
            <m:r>
              <m:t>−</m:t>
            </m:r>
            <m:r>
              <m:t>5</m:t>
            </m:r>
          </m:sup>
        </m:sSup>
      </m:oMath>
      <w:r>
        <w:t xml:space="preserve"> </w:t>
      </w:r>
      <w:r>
        <w:t xml:space="preserve">level:</w:t>
      </w:r>
    </w:p>
    <w:p>
      <w:pPr>
        <w:pStyle w:val="SourceCode"/>
      </w:pPr>
      <w:r>
        <w:rPr>
          <w:rStyle w:val="NormalTok"/>
        </w:rPr>
        <w:t xml:space="preserve">dmp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w:t>
      </w:r>
      <w:r>
        <w:rPr>
          <w:rStyle w:val="StringTok"/>
        </w:rPr>
        <w:t xml:space="preserve">"Probe"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(pval </w:t>
      </w:r>
      <w:r>
        <w:rPr>
          <w:rStyle w:val="OperatorTok"/>
        </w:rPr>
        <w:t xml:space="preserve">&lt;</w:t>
      </w:r>
      <w:r>
        <w:rPr>
          <w:rStyle w:val="StringTok"/>
        </w:rPr>
        <w:t xml:space="preserve"> </w:t>
      </w:r>
      <w:r>
        <w:rPr>
          <w:rStyle w:val="FloatTok"/>
        </w:rPr>
        <w:t xml:space="preserve">1e-5</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Direction =</w:t>
      </w:r>
      <w:r>
        <w:rPr>
          <w:rStyle w:val="NormalTok"/>
        </w:rPr>
        <w:t xml:space="preserve"> </w:t>
      </w:r>
      <w:r>
        <w:rPr>
          <w:rStyle w:val="KeywordTok"/>
        </w:rPr>
        <w:t xml:space="preserve">ifelse</w:t>
      </w:r>
      <w:r>
        <w:rPr>
          <w:rStyle w:val="NormalTok"/>
        </w:rPr>
        <w:t xml:space="preserve">(</w:t>
      </w:r>
      <w:r>
        <w:rPr>
          <w:rStyle w:val="KeywordTok"/>
        </w:rPr>
        <w:t xml:space="preserve">sign</w:t>
      </w:r>
      <w:r>
        <w:rPr>
          <w:rStyle w:val="NormalTok"/>
        </w:rPr>
        <w:t xml:space="preserve">(beta)</w:t>
      </w:r>
      <w:r>
        <w:rPr>
          <w:rStyle w:val="OperatorTok"/>
        </w:rPr>
        <w:t xml:space="preserve">==-</w:t>
      </w:r>
      <w:r>
        <w:rPr>
          <w:rStyle w:val="DecValTok"/>
        </w:rPr>
        <w:t xml:space="preserve">1</w:t>
      </w:r>
      <w:r>
        <w:rPr>
          <w:rStyle w:val="NormalTok"/>
        </w:rPr>
        <w:t xml:space="preserve">,</w:t>
      </w:r>
      <w:r>
        <w:rPr>
          <w:rStyle w:val="StringTok"/>
        </w:rPr>
        <w:t xml:space="preserve">"Hypomethylated"</w:t>
      </w:r>
      <w:r>
        <w:rPr>
          <w:rStyle w:val="NormalTok"/>
        </w:rPr>
        <w:t xml:space="preserve">,</w:t>
      </w:r>
      <w:r>
        <w:rPr>
          <w:rStyle w:val="StringTok"/>
        </w:rPr>
        <w:t xml:space="preserve">"Hypermethylated"</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(Probe,beta,Direction,pval)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"Beta"</w:t>
      </w:r>
      <w:r>
        <w:rPr>
          <w:rStyle w:val="NormalTok"/>
        </w:rPr>
        <w:t xml:space="preserve">=beta,</w:t>
      </w:r>
      <w:r>
        <w:rPr>
          <w:rStyle w:val="StringTok"/>
        </w:rPr>
        <w:t xml:space="preserve">"P Value"</w:t>
      </w:r>
      <w:r>
        <w:rPr>
          <w:rStyle w:val="NormalTok"/>
        </w:rPr>
        <w:t xml:space="preserve">=pval)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rPr>
          <w:rStyle w:val="KeywordTok"/>
        </w:rPr>
        <w:t xml:space="preserve">footnote</w:t>
      </w:r>
      <w:r>
        <w:rPr>
          <w:rStyle w:val="NormalTok"/>
        </w:rPr>
        <w:t xml:space="preserve">(.,</w:t>
      </w:r>
      <w:r>
        <w:rPr>
          <w:rStyle w:val="DataTypeTok"/>
        </w:rPr>
        <w:t xml:space="preserve">i=</w:t>
      </w:r>
      <w:r>
        <w:rPr>
          <w:rStyle w:val="DecValTok"/>
        </w:rPr>
        <w:t xml:space="preserve">1</w:t>
      </w:r>
      <w:r>
        <w:rPr>
          <w:rStyle w:val="NormalTok"/>
        </w:rPr>
        <w:t xml:space="preserve">,</w:t>
      </w:r>
      <w:r>
        <w:rPr>
          <w:rStyle w:val="DataTypeTok"/>
        </w:rPr>
        <w:t xml:space="preserve">j=</w:t>
      </w:r>
      <w:r>
        <w:rPr>
          <w:rStyle w:val="DecValTok"/>
        </w:rPr>
        <w:t xml:space="preserve">3</w:t>
      </w:r>
      <w:r>
        <w:rPr>
          <w:rStyle w:val="NormalTok"/>
        </w:rPr>
        <w:t xml:space="preserve">,</w:t>
      </w:r>
      <w:r>
        <w:rPr>
          <w:rStyle w:val="DataTypeTok"/>
        </w:rPr>
        <w:t xml:space="preserve">value =</w:t>
      </w:r>
      <w:r>
        <w:rPr>
          <w:rStyle w:val="NormalTok"/>
        </w:rPr>
        <w:t xml:space="preserve"> </w:t>
      </w:r>
      <w:r>
        <w:rPr>
          <w:rStyle w:val="KeywordTok"/>
        </w:rPr>
        <w:t xml:space="preserve">as_paragraph</w:t>
      </w:r>
      <w:r>
        <w:rPr>
          <w:rStyle w:val="NormalTok"/>
        </w:rPr>
        <w:t xml:space="preserve">(</w:t>
      </w:r>
      <w:r>
        <w:rPr>
          <w:rStyle w:val="StringTok"/>
        </w:rPr>
        <w:t xml:space="preserve">"With respect to exposure"</w:t>
      </w:r>
      <w:r>
        <w:rPr>
          <w:rStyle w:val="NormalTok"/>
        </w:rPr>
        <w:t xml:space="preserve">),</w:t>
      </w:r>
      <w:r>
        <w:rPr>
          <w:rStyle w:val="DataTypeTok"/>
        </w:rPr>
        <w:t xml:space="preserve">ref_symbols =</w:t>
      </w:r>
      <w:r>
        <w:rPr>
          <w:rStyle w:val="NormalTok"/>
        </w:rPr>
        <w:t xml:space="preserve"> </w:t>
      </w:r>
      <w:r>
        <w:rPr>
          <w:rStyle w:val="StringTok"/>
        </w:rPr>
        <w:t xml:space="preserve">"*"</w:t>
      </w:r>
      <w:r>
        <w:rPr>
          <w:rStyle w:val="NormalTok"/>
        </w:rPr>
        <w:t xml:space="preserve">,</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rPr>
          <w:rStyle w:val="KeywordTok"/>
        </w:rPr>
        <w:t xml:space="preserve">set_table_properties</w:t>
      </w:r>
      <w:r>
        <w:rPr>
          <w:rStyle w:val="NormalTok"/>
        </w:rPr>
        <w:t xml:space="preserve">(.,</w:t>
      </w:r>
      <w:r>
        <w:rPr>
          <w:rStyle w:val="DataTypeTok"/>
        </w:rPr>
        <w:t xml:space="preserve">layout =</w:t>
      </w:r>
      <w:r>
        <w:rPr>
          <w:rStyle w:val="NormalTok"/>
        </w:rPr>
        <w:t xml:space="preserve"> </w:t>
      </w:r>
      <w:r>
        <w:rPr>
          <w:rStyle w:val="StringTok"/>
        </w:rPr>
        <w:t xml:space="preserve">"autofit"</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Probe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Direction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 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cg25761397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-0.3997037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1.332702e-06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cg00244352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-0.3431909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4.254079e-06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cg15614119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-0.2460500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5.528681e-06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cg21088165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-0.4816779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7.535189e-06</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With respect to exposure</w:t>
            </w:r>
          </w:p>
        </w:tc>
      </w:tr>
    </w:tbl>
    <w:p>
      <w:pPr>
        <w:pStyle w:val="Heading2"/>
      </w:pPr>
      <w:bookmarkStart w:id="22" w:name="b-cell-type-composition"/>
      <w:r>
        <w:t xml:space="preserve">b) Cell-type composition</w:t>
      </w:r>
      <w:bookmarkEnd w:id="22"/>
    </w:p>
    <w:p>
      <w:pPr>
        <w:pStyle w:val="FirstParagraph"/>
      </w:pPr>
      <w:r>
        <w:t xml:space="preserve">Cell-type composition is important in methylation studies because methylation is a key factor in converting cells from a pluripotent progenitor to specific cell-type. As a result, differentially methylated regions (DMRs) can distinguish cell-types with high sensitivity and specificity [1]. In other words, if you are comparing two samples with different cell-type composition without some sort of adjustment, many DMRs that distinguish between them will likely be the result of cell-type composition rather than the exposure of interest. There are many ways to adjust for cell-type composition when cell-type isn’t directly measured, but the approach in Houseman et al. [1] is implemented in</w:t>
      </w:r>
      <w:r>
        <w:t xml:space="preserve"> </w:t>
      </w:r>
      <w:r>
        <w:rPr>
          <w:rStyle w:val="VerbatimChar"/>
        </w:rPr>
        <w:t xml:space="preserve">estimateCellCounts()</w:t>
      </w:r>
      <w:r>
        <w:t xml:space="preserve"> </w:t>
      </w:r>
      <w:r>
        <w:t xml:space="preserve">in the</w:t>
      </w:r>
      <w:r>
        <w:t xml:space="preserve"> </w:t>
      </w:r>
      <w:r>
        <w:rPr>
          <w:rStyle w:val="VerbatimChar"/>
        </w:rPr>
        <w:t xml:space="preserve">minfi</w:t>
      </w:r>
      <w:r>
        <w:t xml:space="preserve"> </w:t>
      </w:r>
      <w:r>
        <w:t xml:space="preserve">package, and that paper is frequently cited. The approach in Jaffe &amp; Irizarry [2] is simply an adaptation of the Houseman algorithm for the 450K array.</w:t>
      </w:r>
    </w:p>
    <w:p>
      <w:pPr>
        <w:pStyle w:val="BodyText"/>
      </w:pPr>
      <w:r>
        <w:t xml:space="preserve">The Houseman algorithm takes an</w:t>
      </w:r>
      <w:r>
        <w:t xml:space="preserve"> </w:t>
      </w:r>
      <m:oMath>
        <m:r>
          <m:t>m</m:t>
        </m:r>
        <m:r>
          <m:t>×</m:t>
        </m:r>
        <m:r>
          <m:t>1</m:t>
        </m:r>
      </m:oMath>
      <w:r>
        <w:t xml:space="preserve"> </w:t>
      </w:r>
      <w:r>
        <w:t xml:space="preserve">vector of methylation values</w:t>
      </w:r>
      <w:r>
        <w:t xml:space="preserve"> </w:t>
      </w:r>
      <m:oMath>
        <m:sSub>
          <m:e>
            <m:r>
              <m:rPr>
                <m:sty m:val="b"/>
              </m:rPr>
              <m:t>Y</m:t>
            </m:r>
          </m:e>
          <m:sub>
            <m:r>
              <m:t>0</m:t>
            </m:r>
            <m:r>
              <m:t>h</m:t>
            </m:r>
          </m:sub>
        </m:sSub>
      </m:oMath>
      <w:r>
        <w:t xml:space="preserve"> </w:t>
      </w:r>
      <w:r>
        <w:t xml:space="preserve">for a homogenous cell population, and proposes the linear model</w:t>
      </w:r>
      <w:r>
        <w:t xml:space="preserve"> </w:t>
      </w:r>
      <m:oMath>
        <m:sSub>
          <m:e>
            <m:r>
              <m:rPr>
                <m:sty m:val="b"/>
              </m:rPr>
              <m:t>Y</m:t>
            </m:r>
          </m:e>
          <m:sub>
            <m:r>
              <m:t>0</m:t>
            </m:r>
            <m:r>
              <m:t>h</m:t>
            </m:r>
          </m:sub>
        </m:sSub>
        <m:r>
          <m:t>=</m:t>
        </m:r>
        <m:sSub>
          <m:e>
            <m:r>
              <m:rPr>
                <m:sty m:val="b"/>
              </m:rPr>
              <m:t>B</m:t>
            </m:r>
          </m:e>
          <m:sub>
            <m:r>
              <m:t>0</m:t>
            </m:r>
          </m:sub>
        </m:sSub>
        <m:sSub>
          <m:e>
            <m:r>
              <m:rPr>
                <m:sty m:val="b"/>
              </m:rPr>
              <m:t>w</m:t>
            </m:r>
          </m:e>
          <m:sub>
            <m:r>
              <m:t>0</m:t>
            </m:r>
            <m:r>
              <m:t>h</m:t>
            </m:r>
          </m:sub>
        </m:sSub>
        <m:r>
          <m:t>+</m:t>
        </m:r>
        <m:sSub>
          <m:e>
            <m:r>
              <m:rPr>
                <m:sty m:val="b"/>
              </m:rPr>
              <m:t>e</m:t>
            </m:r>
          </m:e>
          <m:sub>
            <m:r>
              <m:t>0</m:t>
            </m:r>
            <m:r>
              <m:t>h</m:t>
            </m:r>
          </m:sub>
        </m:sSub>
      </m:oMath>
      <w:r>
        <w:t xml:space="preserve"> </w:t>
      </w:r>
      <w:r>
        <w:t xml:space="preserve">where</w:t>
      </w:r>
      <w:r>
        <w:t xml:space="preserve"> </w:t>
      </w:r>
      <m:oMath>
        <m:sSub>
          <m:e>
            <m:r>
              <m:rPr>
                <m:sty m:val="b"/>
              </m:rPr>
              <m:t>w</m:t>
            </m:r>
          </m:e>
          <m:sub>
            <m:r>
              <m:t>h</m:t>
            </m:r>
          </m:sub>
        </m:sSub>
      </m:oMath>
      <w:r>
        <w:t xml:space="preserve"> </w:t>
      </w:r>
      <w:r>
        <w:t xml:space="preserve">is a</w:t>
      </w:r>
      <w:r>
        <w:t xml:space="preserve"> </w:t>
      </w:r>
      <m:oMath>
        <m:sSub>
          <m:e>
            <m:r>
              <m:t>d</m:t>
            </m:r>
          </m:e>
          <m:sub>
            <m:r>
              <m:t>0</m:t>
            </m:r>
          </m:sub>
        </m:sSub>
        <m:r>
          <m:t>×</m:t>
        </m:r>
        <m:r>
          <m:t>1</m:t>
        </m:r>
      </m:oMath>
      <w:r>
        <w:t xml:space="preserve"> </w:t>
      </w:r>
      <w:r>
        <w:t xml:space="preserve">covariate vector indicating cell-type and</w:t>
      </w:r>
      <w:r>
        <w:t xml:space="preserve"> </w:t>
      </w:r>
      <m:oMath>
        <m:sSub>
          <m:e>
            <m:r>
              <m:rPr>
                <m:sty m:val="b"/>
              </m:rPr>
              <m:t>B</m:t>
            </m:r>
          </m:e>
          <m:sub>
            <m:r>
              <m:t>0</m:t>
            </m:r>
          </m:sub>
        </m:sSub>
      </m:oMath>
      <w:r>
        <w:t xml:space="preserve"> </w:t>
      </w:r>
      <w:r>
        <w:t xml:space="preserve">is an</w:t>
      </w:r>
      <w:r>
        <w:t xml:space="preserve"> </w:t>
      </w:r>
      <m:oMath>
        <m:r>
          <m:t>m</m:t>
        </m:r>
        <m:r>
          <m:t>×</m:t>
        </m:r>
        <m:sSub>
          <m:e>
            <m:r>
              <m:t>d</m:t>
            </m:r>
          </m:e>
          <m:sub>
            <m:r>
              <m:t>0</m:t>
            </m:r>
          </m:sub>
        </m:sSub>
      </m:oMath>
      <w:r>
        <w:t xml:space="preserve"> </w:t>
      </w:r>
      <w:r>
        <w:t xml:space="preserve">matrix. Also,</w:t>
      </w:r>
      <w:r>
        <w:t xml:space="preserve"> </w:t>
      </w:r>
      <m:oMath>
        <m:r>
          <m:t>h</m:t>
        </m:r>
      </m:oMath>
      <w:r>
        <w:t xml:space="preserve"> </w:t>
      </w:r>
      <w:r>
        <w:t xml:space="preserve">indexes the specimen and</w:t>
      </w:r>
      <w:r>
        <w:t xml:space="preserve"> </w:t>
      </w:r>
      <m:oMath>
        <m:sSub>
          <m:e>
            <m:r>
              <m:rPr>
                <m:sty m:val="b"/>
              </m:rPr>
              <m:t>e</m:t>
            </m:r>
          </m:e>
          <m:sub>
            <m:r>
              <m:t>0</m:t>
            </m:r>
            <m:r>
              <m:t>h</m:t>
            </m:r>
          </m:sub>
        </m:sSub>
      </m:oMath>
      <w:r>
        <w:t xml:space="preserve"> </w:t>
      </w:r>
      <w:r>
        <w:t xml:space="preserve">is an error vector. Next, they propose a similar model for the data without cell-type measurements:</w:t>
      </w:r>
      <w:r>
        <w:t xml:space="preserve"> </w:t>
      </w:r>
      <m:oMath>
        <m:sSub>
          <m:e>
            <m:r>
              <m:rPr>
                <m:sty m:val="b"/>
              </m:rPr>
              <m:t>Y</m:t>
            </m:r>
          </m:e>
          <m:sub>
            <m:r>
              <m:t>1</m:t>
            </m:r>
            <m:r>
              <m:t>i</m:t>
            </m:r>
          </m:sub>
        </m:sSub>
        <m:r>
          <m:t>=</m:t>
        </m:r>
        <m:sSub>
          <m:e>
            <m:r>
              <m:rPr>
                <m:sty m:val="b"/>
              </m:rPr>
              <m:t>B</m:t>
            </m:r>
          </m:e>
          <m:sub>
            <m:r>
              <m:t>1</m:t>
            </m:r>
          </m:sub>
        </m:sSub>
        <m:sSub>
          <m:e>
            <m:r>
              <m:rPr>
                <m:sty m:val="b"/>
              </m:rPr>
              <m:t>z</m:t>
            </m:r>
          </m:e>
          <m:sub>
            <m:r>
              <m:t>i</m:t>
            </m:r>
          </m:sub>
        </m:sSub>
        <m:r>
          <m:t>+</m:t>
        </m:r>
        <m:sSub>
          <m:e>
            <m:r>
              <m:rPr>
                <m:sty m:val="b"/>
              </m:rPr>
              <m:t>e</m:t>
            </m:r>
          </m:e>
          <m:sub>
            <m:r>
              <m:t>1</m:t>
            </m:r>
            <m:r>
              <m:t>i</m:t>
            </m:r>
          </m:sub>
        </m:sSub>
      </m:oMath>
      <w:r>
        <w:t xml:space="preserve"> </w:t>
      </w:r>
      <w:r>
        <w:t xml:space="preserve">with the linking regression model</w:t>
      </w:r>
      <w:r>
        <w:t xml:space="preserve"> </w:t>
      </w:r>
      <m:oMath>
        <m:sSub>
          <m:e>
            <m:r>
              <m:rPr>
                <m:sty m:val="b"/>
              </m:rPr>
              <m:t>B</m:t>
            </m:r>
          </m:e>
          <m:sub>
            <m:r>
              <m:t>1</m:t>
            </m:r>
          </m:sub>
        </m:sSub>
        <m:r>
          <m:t>=</m:t>
        </m:r>
        <m:sSub>
          <m:e>
            <m:r>
              <m:rPr>
                <m:sty m:val="b"/>
              </m:rPr>
              <m:t>1</m:t>
            </m:r>
          </m:e>
          <m:sub>
            <m:r>
              <m:t>m</m:t>
            </m:r>
            <m:sSubSup>
              <m:e>
                <m:r>
                  <m:t>γ</m:t>
                </m:r>
              </m:e>
              <m:sub>
                <m:r>
                  <m:t>0</m:t>
                </m:r>
              </m:sub>
              <m:sup>
                <m:r>
                  <m:t>T</m:t>
                </m:r>
              </m:sup>
            </m:sSubSup>
          </m:sub>
        </m:sSub>
        <m:r>
          <m:t>+</m:t>
        </m:r>
        <m:sSub>
          <m:e>
            <m:r>
              <m:rPr>
                <m:sty m:val="b"/>
              </m:rPr>
              <m:t>B</m:t>
            </m:r>
          </m:e>
          <m:sub>
            <m:r>
              <m:t>0</m:t>
            </m:r>
          </m:sub>
        </m:sSub>
        <m:r>
          <m:t>Γ</m:t>
        </m:r>
        <m:r>
          <m:t>+</m:t>
        </m:r>
        <m:r>
          <m:rPr>
            <m:sty m:val="b"/>
          </m:rPr>
          <m:t>U</m:t>
        </m:r>
      </m:oMath>
      <w:r>
        <w:t xml:space="preserve"> </w:t>
      </w:r>
      <w:r>
        <w:t xml:space="preserve">where</w:t>
      </w:r>
      <w:r>
        <w:t xml:space="preserve"> </w:t>
      </w:r>
      <m:oMath>
        <m:r>
          <m:t>i</m:t>
        </m:r>
      </m:oMath>
      <w:r>
        <w:t xml:space="preserve"> </w:t>
      </w:r>
      <w:r>
        <w:t xml:space="preserve">indexes samples of interest and</w:t>
      </w:r>
      <w:r>
        <w:t xml:space="preserve"> </w:t>
      </w:r>
      <m:oMath>
        <m:r>
          <m:rPr>
            <m:sty m:val="b"/>
          </m:rPr>
          <m:t>U</m:t>
        </m:r>
      </m:oMath>
      <w:r>
        <w:t xml:space="preserve"> </w:t>
      </w:r>
      <w:r>
        <w:t xml:space="preserve">is a matrix of errors. The math gets fairly complicated after this, so I won’t go into any more detail, but the points is that the cell-type mixture coefficients can be</w:t>
      </w:r>
      <w:r>
        <w:t xml:space="preserve"> </w:t>
      </w:r>
      <w:r>
        <w:t xml:space="preserve">“</w:t>
      </w:r>
      <w:r>
        <w:t xml:space="preserve">recovered</w:t>
      </w:r>
      <w:r>
        <w:t xml:space="preserve">”</w:t>
      </w:r>
      <w:r>
        <w:t xml:space="preserve"> </w:t>
      </w:r>
      <w:r>
        <w:t xml:space="preserve">from</w:t>
      </w:r>
      <w:r>
        <w:t xml:space="preserve"> </w:t>
      </w:r>
      <m:oMath>
        <m:r>
          <m:t>Γ</m:t>
        </m:r>
      </m:oMath>
      <w:r>
        <w:t xml:space="preserve"> </w:t>
      </w:r>
      <w:r>
        <w:t xml:space="preserve">by estimating</w:t>
      </w:r>
      <w:r>
        <w:t xml:space="preserve"> </w:t>
      </w:r>
      <m:oMath>
        <m:acc>
          <m:accPr>
            <m:chr m:val="̂"/>
          </m:accPr>
          <m:e>
            <m:sSub>
              <m:e>
                <m:r>
                  <m:rPr>
                    <m:sty m:val="b"/>
                  </m:rPr>
                  <m:t>B</m:t>
                </m:r>
              </m:e>
              <m:sub>
                <m:r>
                  <m:t>0</m:t>
                </m:r>
              </m:sub>
            </m:sSub>
          </m:e>
        </m:acc>
      </m:oMath>
      <w:r>
        <w:t xml:space="preserve"> </w:t>
      </w:r>
      <w:r>
        <w:t xml:space="preserve">and</w:t>
      </w:r>
      <w:r>
        <w:t xml:space="preserve"> </w:t>
      </w:r>
      <m:oMath>
        <m:acc>
          <m:accPr>
            <m:chr m:val="̂"/>
          </m:accPr>
          <m:e>
            <m:sSub>
              <m:e>
                <m:r>
                  <m:rPr>
                    <m:sty m:val="b"/>
                  </m:rPr>
                  <m:t>B</m:t>
                </m:r>
              </m:e>
              <m:sub>
                <m:r>
                  <m:t>1</m:t>
                </m:r>
              </m:sub>
            </m:sSub>
          </m:e>
        </m:acc>
      </m:oMath>
      <w:r>
        <w:t xml:space="preserve"> </w:t>
      </w:r>
      <w:r>
        <w:t xml:space="preserve">via linear models using ordinary least squares, mixed effects models, limma, or surrogate variable analysis. The authors also recommend bootstrap procedures for estimating standard errors.</w:t>
      </w:r>
    </w:p>
    <w:p>
      <w:pPr>
        <w:pStyle w:val="Heading2"/>
      </w:pPr>
      <w:bookmarkStart w:id="23" w:name="c-estimate-cell-counts"/>
      <w:r>
        <w:t xml:space="preserve">c) Estimate cell counts</w:t>
      </w:r>
      <w:bookmarkEnd w:id="23"/>
    </w:p>
    <w:p>
      <w:pPr>
        <w:pStyle w:val="SourceCode"/>
      </w:pPr>
      <w:r>
        <w:rPr>
          <w:rStyle w:val="NormalTok"/>
        </w:rPr>
        <w:t xml:space="preserve">rgSetCell =</w:t>
      </w:r>
      <w:r>
        <w:rPr>
          <w:rStyle w:val="StringTok"/>
        </w:rPr>
        <w:t xml:space="preserve"> </w:t>
      </w:r>
      <w:r>
        <w:rPr>
          <w:rStyle w:val="KeywordTok"/>
        </w:rPr>
        <w:t xml:space="preserve">read.metharray.exp</w:t>
      </w:r>
      <w:r>
        <w:rPr>
          <w:rStyle w:val="NormalTok"/>
        </w:rPr>
        <w:t xml:space="preserve">(</w:t>
      </w:r>
      <w:r>
        <w:rPr>
          <w:rStyle w:val="DataTypeTok"/>
        </w:rPr>
        <w:t xml:space="preserve">targets=</w:t>
      </w:r>
      <w:r>
        <w:rPr>
          <w:rStyle w:val="NormalTok"/>
        </w:rPr>
        <w:t xml:space="preserve">targets,</w:t>
      </w:r>
      <w:r>
        <w:rPr>
          <w:rStyle w:val="DataTypeTok"/>
        </w:rPr>
        <w:t xml:space="preserve">extended=</w:t>
      </w:r>
      <w:r>
        <w:rPr>
          <w:rStyle w:val="NormalTok"/>
        </w:rPr>
        <w:t xml:space="preserve">F)</w:t>
      </w:r>
    </w:p>
    <w:p>
      <w:pPr>
        <w:pStyle w:val="SourceCode"/>
      </w:pP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r>
        <w:br/>
      </w:r>
      <w:r>
        <w:br/>
      </w:r>
      <w:r>
        <w:rPr>
          <w:rStyle w:val="VerbatimChar"/>
        </w:rPr>
        <w:t xml:space="preserve">## Warning in readChar(con, nchars = n): truncating string with embedded nuls</w:t>
      </w:r>
    </w:p>
    <w:p>
      <w:pPr>
        <w:pStyle w:val="SourceCode"/>
      </w:pPr>
      <w:r>
        <w:rPr>
          <w:rStyle w:val="NormalTok"/>
        </w:rPr>
        <w:t xml:space="preserve">cells =</w:t>
      </w:r>
      <w:r>
        <w:rPr>
          <w:rStyle w:val="StringTok"/>
        </w:rPr>
        <w:t xml:space="preserve"> </w:t>
      </w:r>
      <w:r>
        <w:rPr>
          <w:rStyle w:val="KeywordTok"/>
        </w:rPr>
        <w:t xml:space="preserve">estimateCellCounts</w:t>
      </w:r>
      <w:r>
        <w:rPr>
          <w:rStyle w:val="NormalTok"/>
        </w:rPr>
        <w:t xml:space="preserve">(rgSetCell,</w:t>
      </w:r>
      <w:r>
        <w:rPr>
          <w:rStyle w:val="DataTypeTok"/>
        </w:rPr>
        <w:t xml:space="preserve">meanPlot =</w:t>
      </w:r>
      <w:r>
        <w:rPr>
          <w:rStyle w:val="NormalTok"/>
        </w:rPr>
        <w:t xml:space="preserve"> T,</w:t>
      </w:r>
      <w:r>
        <w:rPr>
          <w:rStyle w:val="DataTypeTok"/>
        </w:rPr>
        <w:t xml:space="preserve">compositeCellType =</w:t>
      </w:r>
      <w:r>
        <w:rPr>
          <w:rStyle w:val="NormalTok"/>
        </w:rPr>
        <w:t xml:space="preserve"> </w:t>
      </w:r>
      <w:r>
        <w:rPr>
          <w:rStyle w:val="StringTok"/>
        </w:rPr>
        <w:t xml:space="preserve">"Blood"</w:t>
      </w:r>
      <w:r>
        <w:rPr>
          <w:rStyle w:val="NormalTok"/>
        </w:rPr>
        <w:t xml:space="preserve">,</w:t>
      </w:r>
      <w:r>
        <w:rPr>
          <w:rStyle w:val="DataTypeTok"/>
        </w:rPr>
        <w:t xml:space="preserve">cellTypes =</w:t>
      </w:r>
      <w:r>
        <w:rPr>
          <w:rStyle w:val="NormalTok"/>
        </w:rPr>
        <w:t xml:space="preserve"> </w:t>
      </w:r>
      <w:r>
        <w:rPr>
          <w:rStyle w:val="KeywordTok"/>
        </w:rPr>
        <w:t xml:space="preserve">c</w:t>
      </w:r>
      <w:r>
        <w:rPr>
          <w:rStyle w:val="NormalTok"/>
        </w:rPr>
        <w:t xml:space="preserve">(</w:t>
      </w:r>
      <w:r>
        <w:rPr>
          <w:rStyle w:val="StringTok"/>
        </w:rPr>
        <w:t xml:space="preserve">"CD8T"</w:t>
      </w:r>
      <w:r>
        <w:rPr>
          <w:rStyle w:val="NormalTok"/>
        </w:rPr>
        <w:t xml:space="preserve">,</w:t>
      </w:r>
      <w:r>
        <w:rPr>
          <w:rStyle w:val="StringTok"/>
        </w:rPr>
        <w:t xml:space="preserve">"CD4T"</w:t>
      </w:r>
      <w:r>
        <w:rPr>
          <w:rStyle w:val="NormalTok"/>
        </w:rPr>
        <w:t xml:space="preserve">,</w:t>
      </w:r>
      <w:r>
        <w:rPr>
          <w:rStyle w:val="StringTok"/>
        </w:rPr>
        <w:t xml:space="preserve">"NK"</w:t>
      </w:r>
      <w:r>
        <w:rPr>
          <w:rStyle w:val="NormalTok"/>
        </w:rPr>
        <w:t xml:space="preserve">,</w:t>
      </w:r>
      <w:r>
        <w:rPr>
          <w:rStyle w:val="StringTok"/>
        </w:rPr>
        <w:t xml:space="preserve">"Bcell"</w:t>
      </w:r>
      <w:r>
        <w:rPr>
          <w:rStyle w:val="NormalTok"/>
        </w:rPr>
        <w:t xml:space="preserve">,</w:t>
      </w:r>
      <w:r>
        <w:rPr>
          <w:rStyle w:val="StringTok"/>
        </w:rPr>
        <w:t xml:space="preserve">"Mono"</w:t>
      </w:r>
      <w:r>
        <w:rPr>
          <w:rStyle w:val="NormalTok"/>
        </w:rPr>
        <w:t xml:space="preserve">,</w:t>
      </w:r>
      <w:r>
        <w:rPr>
          <w:rStyle w:val="StringTok"/>
        </w:rPr>
        <w:t xml:space="preserve">"Gran"</w:t>
      </w:r>
      <w:r>
        <w:rPr>
          <w:rStyle w:val="NormalTok"/>
        </w:rPr>
        <w:t xml:space="preserve">))</w:t>
      </w:r>
    </w:p>
    <w:p>
      <w:pPr>
        <w:pStyle w:val="SourceCode"/>
      </w:pPr>
      <w:r>
        <w:rPr>
          <w:rStyle w:val="VerbatimChar"/>
        </w:rPr>
        <w:t xml:space="preserve">## [estimateCellCounts] Combining user data with reference (flow sorted) data.</w:t>
      </w:r>
    </w:p>
    <w:p>
      <w:pPr>
        <w:pStyle w:val="SourceCode"/>
      </w:pPr>
      <w:r>
        <w:rPr>
          <w:rStyle w:val="VerbatimChar"/>
        </w:rPr>
        <w:t xml:space="preserve">## Warning in DataFrame(sampleNames = c(colnames(rgSet),</w:t>
      </w:r>
      <w:r>
        <w:br/>
      </w:r>
      <w:r>
        <w:rPr>
          <w:rStyle w:val="VerbatimChar"/>
        </w:rPr>
        <w:t xml:space="preserve">## colnames(referenceRGset)), : 'stringsAsFactors' is ignored</w:t>
      </w:r>
    </w:p>
    <w:p>
      <w:pPr>
        <w:pStyle w:val="SourceCode"/>
      </w:pPr>
      <w:r>
        <w:rPr>
          <w:rStyle w:val="VerbatimChar"/>
        </w:rPr>
        <w:t xml:space="preserve">## [estimateCellCounts] Processing user and reference data together.</w:t>
      </w:r>
    </w:p>
    <w:p>
      <w:pPr>
        <w:pStyle w:val="SourceCode"/>
      </w:pPr>
      <w:r>
        <w:rPr>
          <w:rStyle w:val="VerbatimChar"/>
        </w:rPr>
        <w:t xml:space="preserve">## [preprocessQuantile] Mapping to genome.</w:t>
      </w:r>
    </w:p>
    <w:p>
      <w:pPr>
        <w:pStyle w:val="SourceCode"/>
      </w:pPr>
      <w:r>
        <w:rPr>
          <w:rStyle w:val="VerbatimChar"/>
        </w:rPr>
        <w:t xml:space="preserve">## Loading required package: IlluminaHumanMethylation450kanno.ilmn12.hg19</w:t>
      </w:r>
    </w:p>
    <w:p>
      <w:pPr>
        <w:pStyle w:val="SourceCode"/>
      </w:pPr>
      <w:r>
        <w:rPr>
          <w:rStyle w:val="VerbatimChar"/>
        </w:rPr>
        <w:t xml:space="preserve">## [preprocessQuantile] Fixing outliers.</w:t>
      </w:r>
    </w:p>
    <w:p>
      <w:pPr>
        <w:pStyle w:val="SourceCode"/>
      </w:pPr>
      <w:r>
        <w:rPr>
          <w:rStyle w:val="VerbatimChar"/>
        </w:rPr>
        <w:t xml:space="preserve">## [preprocessQuantile] Quantile normalizing.</w:t>
      </w:r>
    </w:p>
    <w:p>
      <w:pPr>
        <w:pStyle w:val="SourceCode"/>
      </w:pPr>
      <w:r>
        <w:rPr>
          <w:rStyle w:val="VerbatimChar"/>
        </w:rPr>
        <w:t xml:space="preserve">## [estimateCellCounts] Picking probes for composition estimation.</w:t>
      </w:r>
    </w:p>
    <w:p>
      <w:pPr>
        <w:pStyle w:val="SourceCode"/>
      </w:pPr>
      <w:r>
        <w:rPr>
          <w:rStyle w:val="VerbatimChar"/>
        </w:rPr>
        <w:t xml:space="preserve">## [estimateCellCounts] Estimating composition.</w:t>
      </w:r>
    </w:p>
    <w:p>
      <w:pPr>
        <w:pStyle w:val="FirstParagraph"/>
      </w:pPr>
      <w:r>
        <w:drawing>
          <wp:inline>
            <wp:extent cx="5334000" cy="4267200"/>
            <wp:effectExtent b="0" l="0" r="0" t="0"/>
            <wp:docPr descr="" title="" id="1" name="Picture"/>
            <a:graphic>
              <a:graphicData uri="http://schemas.openxmlformats.org/drawingml/2006/picture">
                <pic:pic>
                  <pic:nvPicPr>
                    <pic:cNvPr descr="hw8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above shows the average methylation across cell-type differentiating probes, for our data and the reference data set (</w:t>
      </w:r>
      <w:r>
        <w:t xml:space="preserve">“</w:t>
      </w:r>
      <w:r>
        <w:t xml:space="preserve">FlowSorted.Blood.450k</w:t>
      </w:r>
      <w:r>
        <w:t xml:space="preserve">”</w:t>
      </w:r>
      <w:r>
        <w:t xml:space="preserve">). The means of the two datasets should be in a similar range. If not, this suggests large batch effects in the data and the composition estimates should not be trusted (the function automatically performs quantile normalization between the two datasets to reduce potential batch effects). This plot looks reasonable, so we can probably trust these cell-type estimates and repeat part a) with adjustment for cell-type composition:</w:t>
      </w:r>
    </w:p>
    <w:p>
      <w:pPr>
        <w:pStyle w:val="Heading1"/>
      </w:pPr>
      <w:bookmarkStart w:id="25" w:name="chip-seq"/>
      <w:r>
        <w:t xml:space="preserve">2. ChIP-Seq</w:t>
      </w:r>
      <w:bookmarkEnd w:id="25"/>
    </w:p>
    <w:p>
      <w:pPr>
        <w:pStyle w:val="FirstParagraph"/>
      </w:pPr>
      <w:r>
        <w:t xml:space="preserve">Read in the data:</w:t>
      </w:r>
    </w:p>
    <w:p>
      <w:pPr>
        <w:pStyle w:val="SourceCode"/>
      </w:pPr>
      <w:r>
        <w:rPr>
          <w:rStyle w:val="KeywordTok"/>
        </w:rPr>
        <w:t xml:space="preserve">data</w:t>
      </w:r>
      <w:r>
        <w:rPr>
          <w:rStyle w:val="NormalTok"/>
        </w:rPr>
        <w:t xml:space="preserve">(yeastCDS) </w:t>
      </w:r>
      <w:r>
        <w:br/>
      </w:r>
      <w:r>
        <w:rPr>
          <w:rStyle w:val="NormalTok"/>
        </w:rPr>
        <w:t xml:space="preserve">allData =</w:t>
      </w:r>
      <w:r>
        <w:rPr>
          <w:rStyle w:val="StringTok"/>
        </w:rPr>
        <w:t xml:space="preserve"> </w:t>
      </w:r>
      <w:r>
        <w:rPr>
          <w:rStyle w:val="KeywordTok"/>
        </w:rPr>
        <w:t xml:space="preserve">dataReading</w:t>
      </w:r>
      <w:r>
        <w:rPr>
          <w:rStyle w:val="NormalTok"/>
        </w:rPr>
        <w:t xml:space="preserve">(</w:t>
      </w:r>
      <w:r>
        <w:rPr>
          <w:rStyle w:val="StringTok"/>
        </w:rPr>
        <w:t xml:space="preserve">"./hw8files/tup1_IP.txt"</w:t>
      </w:r>
      <w:r>
        <w:rPr>
          <w:rStyle w:val="NormalTok"/>
        </w:rPr>
        <w:t xml:space="preserve">, </w:t>
      </w:r>
      <w:r>
        <w:rPr>
          <w:rStyle w:val="StringTok"/>
        </w:rPr>
        <w:t xml:space="preserve">"./hw8files/mock_IP.txt"</w:t>
      </w:r>
      <w:r>
        <w:rPr>
          <w:rStyle w:val="NormalTok"/>
        </w:rPr>
        <w:t xml:space="preserve">,</w:t>
      </w:r>
      <w:r>
        <w:br/>
      </w:r>
      <w:r>
        <w:rPr>
          <w:rStyle w:val="NormalTok"/>
        </w:rPr>
        <w:t xml:space="preserve">                      </w:t>
      </w:r>
      <w:r>
        <w:rPr>
          <w:rStyle w:val="DataTypeTok"/>
        </w:rPr>
        <w:t xml:space="preserve">yeastSpecies =</w:t>
      </w:r>
      <w:r>
        <w:rPr>
          <w:rStyle w:val="NormalTok"/>
        </w:rPr>
        <w:t xml:space="preserve"> yeastCDS</w:t>
      </w:r>
      <w:r>
        <w:rPr>
          <w:rStyle w:val="OperatorTok"/>
        </w:rPr>
        <w:t xml:space="preserve">$</w:t>
      </w:r>
      <w:r>
        <w:rPr>
          <w:rStyle w:val="NormalTok"/>
        </w:rPr>
        <w:t xml:space="preserve">Saccharomyces.cerevisiae)</w:t>
      </w:r>
    </w:p>
    <w:p>
      <w:pPr>
        <w:pStyle w:val="SourceCode"/>
      </w:pPr>
      <w:r>
        <w:rPr>
          <w:rStyle w:val="VerbatimChar"/>
        </w:rPr>
        <w:t xml:space="preserve">## [1] "**********************************************"</w:t>
      </w:r>
      <w:r>
        <w:br/>
      </w:r>
      <w:r>
        <w:rPr>
          <w:rStyle w:val="VerbatimChar"/>
        </w:rPr>
        <w:t xml:space="preserve">## [1] "Reading IP and control datasets... "</w:t>
      </w:r>
      <w:r>
        <w:br/>
      </w:r>
      <w:r>
        <w:rPr>
          <w:rStyle w:val="VerbatimChar"/>
        </w:rPr>
        <w:t xml:space="preserve">## [1] "... done"</w:t>
      </w:r>
      <w:r>
        <w:br/>
      </w:r>
      <w:r>
        <w:rPr>
          <w:rStyle w:val="VerbatimChar"/>
        </w:rPr>
        <w:t xml:space="preserve">## [1] "**********************************************"</w:t>
      </w:r>
      <w:r>
        <w:br/>
      </w:r>
      <w:r>
        <w:rPr>
          <w:rStyle w:val="VerbatimChar"/>
        </w:rPr>
        <w:t xml:space="preserve">## [1] ""</w:t>
      </w:r>
    </w:p>
    <w:p>
      <w:pPr>
        <w:pStyle w:val="Heading1"/>
      </w:pPr>
      <w:bookmarkStart w:id="26" w:name="references"/>
      <w:r>
        <w:t xml:space="preserve">References</w:t>
      </w:r>
      <w:bookmarkEnd w:id="26"/>
    </w:p>
    <w:p>
      <w:pPr>
        <w:numPr>
          <w:numId w:val="1001"/>
          <w:ilvl w:val="0"/>
        </w:numPr>
      </w:pPr>
      <w:r>
        <w:t xml:space="preserve">Houseman EA, Accomando WP, Koestler DC, et al. DNA methylation arrays as surrogate measures of cell mixture distribution. BMC Bioinformatics. 2012;13(1):86.</w:t>
      </w:r>
      <w:r>
        <w:t xml:space="preserve"> </w:t>
      </w:r>
      <w:hyperlink r:id="rId27">
        <w:r>
          <w:rPr>
            <w:rStyle w:val="Hyperlink"/>
          </w:rPr>
          <w:t xml:space="preserve">doi:10.1186/1471-2105-13-86</w:t>
        </w:r>
      </w:hyperlink>
    </w:p>
    <w:p>
      <w:pPr>
        <w:numPr>
          <w:numId w:val="1001"/>
          <w:ilvl w:val="0"/>
        </w:numPr>
      </w:pPr>
      <w:r>
        <w:t xml:space="preserve">Jaffe AE, Irizarry RA. Accounting for cellular heterogeneity is critical in epigenome-wide association studies. Genome Biol. 2014;15(2):R31.</w:t>
      </w:r>
      <w:r>
        <w:t xml:space="preserve"> </w:t>
      </w:r>
      <w:hyperlink r:id="rId28">
        <w:r>
          <w:rPr>
            <w:rStyle w:val="Hyperlink"/>
          </w:rPr>
          <w:t xml:space="preserve">doi:10.1186/gb-2014-15-2-r31</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7" Target="doi:10.1186/1471-2105-13-86" TargetMode="External" /><Relationship Type="http://schemas.openxmlformats.org/officeDocument/2006/relationships/hyperlink" Id="rId28" Target="doi:10.1186/gb-2014-15-2-r31" TargetMode="External" /></Relationships>
</file>

<file path=word/_rels/footnotes.xml.rels><?xml version="1.0" encoding="UTF-8"?>
<Relationships xmlns="http://schemas.openxmlformats.org/package/2006/relationships"><Relationship Type="http://schemas.openxmlformats.org/officeDocument/2006/relationships/hyperlink" Id="rId27" Target="doi:10.1186/1471-2105-13-86" TargetMode="External" /><Relationship Type="http://schemas.openxmlformats.org/officeDocument/2006/relationships/hyperlink" Id="rId28" Target="doi:10.1186/gb-2014-15-2-r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8</dc:title>
  <dc:creator>Tim Vigers</dc:creator>
  <cp:keywords/>
  <dcterms:created xsi:type="dcterms:W3CDTF">2020-11-22T23:08:09Z</dcterms:created>
  <dcterms:modified xsi:type="dcterms:W3CDTF">2020-11-22T23:08:09Z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November 2020</vt:lpwstr>
  </property>
  <property fmtid="{D5CDD505-2E9C-101B-9397-08002B2CF9AE}" pid="3" name="output">
    <vt:lpwstr>word_document</vt:lpwstr>
  </property>
</Properties>
</file>