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Document Processor — Processing Guidelines (Contoso Electronics)</w:t>
      </w:r>
    </w:p>
    <w:p>
      <w:pPr>
        <w:spacing w:after="120"/>
      </w:pPr>
      <w:r>
        <w:t>Audience: AP, Legal/Procurement, Recruiting, and agent administrators.</w:t>
      </w:r>
    </w:p>
    <w:p>
      <w:r>
        <w:rPr>
          <w:b/>
          <w:sz w:val="28"/>
        </w:rPr>
        <w:t>1. End-to-end flow</w:t>
      </w:r>
    </w:p>
    <w:p>
      <w:pPr>
        <w:pStyle w:val="ListBullet"/>
      </w:pPr>
      <w:r>
        <w:t>A file is created in the SharePoint IncomingDocuments library (root or a drop folder).</w:t>
      </w:r>
    </w:p>
    <w:p>
      <w:pPr>
        <w:pStyle w:val="ListBullet"/>
      </w:pPr>
      <w:r>
        <w:t>The agent classifies the document type and produces a confidence score.</w:t>
      </w:r>
    </w:p>
    <w:p>
      <w:pPr>
        <w:pStyle w:val="ListBullet"/>
      </w:pPr>
      <w:r>
        <w:t>If confidence is high enough, the agent extracts required metadata fields and routes the file.</w:t>
      </w:r>
    </w:p>
    <w:p>
      <w:pPr>
        <w:pStyle w:val="ListBullet"/>
      </w:pPr>
      <w:r>
        <w:t>If confidence is low or fields are missing, the agent routes to Exceptions and asks for reviewer input.</w:t>
      </w:r>
    </w:p>
    <w:p>
      <w:r>
        <w:rPr>
          <w:b/>
          <w:sz w:val="28"/>
        </w:rPr>
        <w:t>2. Routing rules (operational)</w:t>
      </w:r>
    </w:p>
    <w:p>
      <w:pPr>
        <w:spacing w:after="120"/>
      </w:pPr>
      <w:r>
        <w:t>Routing is driven by routing-rules.csv. The rules below are summarized for humans.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Rule</w:t>
            </w:r>
          </w:p>
        </w:tc>
        <w:tc>
          <w:tcPr>
            <w:tcW w:type="dxa" w:w="2160"/>
          </w:tcPr>
          <w:p>
            <w:r>
              <w:t>RouteTo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</w:tr>
      <w:tr>
        <w:tc>
          <w:tcPr>
            <w:tcW w:type="dxa" w:w="2160"/>
          </w:tcPr>
          <w:p>
            <w:r>
              <w:t>Invoice</w:t>
            </w:r>
          </w:p>
        </w:tc>
        <w:tc>
          <w:tcPr>
            <w:tcW w:type="dxa" w:w="2160"/>
          </w:tcPr>
          <w:p>
            <w:r>
              <w:t>Amount &gt;= 10,000</w:t>
            </w:r>
          </w:p>
        </w:tc>
        <w:tc>
          <w:tcPr>
            <w:tcW w:type="dxa" w:w="2160"/>
          </w:tcPr>
          <w:p>
            <w:r>
              <w:t>Finance-Approvals</w:t>
            </w:r>
          </w:p>
        </w:tc>
        <w:tc>
          <w:tcPr>
            <w:tcW w:type="dxa" w:w="2160"/>
          </w:tcPr>
          <w:p>
            <w:r>
              <w:t>RequireApproval</w:t>
            </w:r>
          </w:p>
        </w:tc>
      </w:tr>
      <w:tr>
        <w:tc>
          <w:tcPr>
            <w:tcW w:type="dxa" w:w="2160"/>
          </w:tcPr>
          <w:p>
            <w:r>
              <w:t>Invoice</w:t>
            </w:r>
          </w:p>
        </w:tc>
        <w:tc>
          <w:tcPr>
            <w:tcW w:type="dxa" w:w="2160"/>
          </w:tcPr>
          <w:p>
            <w:r>
              <w:t>Amount &lt; 10,000</w:t>
            </w:r>
          </w:p>
        </w:tc>
        <w:tc>
          <w:tcPr>
            <w:tcW w:type="dxa" w:w="2160"/>
          </w:tcPr>
          <w:p>
            <w:r>
              <w:t>AP-Queue</w:t>
            </w:r>
          </w:p>
        </w:tc>
        <w:tc>
          <w:tcPr>
            <w:tcW w:type="dxa" w:w="2160"/>
          </w:tcPr>
          <w:p>
            <w:r>
              <w:t>AutoPost</w:t>
            </w:r>
          </w:p>
        </w:tc>
      </w:tr>
      <w:tr>
        <w:tc>
          <w:tcPr>
            <w:tcW w:type="dxa" w:w="2160"/>
          </w:tcPr>
          <w:p>
            <w:r>
              <w:t>Contract</w:t>
            </w:r>
          </w:p>
        </w:tc>
        <w:tc>
          <w:tcPr>
            <w:tcW w:type="dxa" w:w="2160"/>
          </w:tcPr>
          <w:p>
            <w:r>
              <w:t>Value &gt;= 50,000</w:t>
            </w:r>
          </w:p>
        </w:tc>
        <w:tc>
          <w:tcPr>
            <w:tcW w:type="dxa" w:w="2160"/>
          </w:tcPr>
          <w:p>
            <w:r>
              <w:t>Legal-Review</w:t>
            </w:r>
          </w:p>
        </w:tc>
        <w:tc>
          <w:tcPr>
            <w:tcW w:type="dxa" w:w="2160"/>
          </w:tcPr>
          <w:p>
            <w:r>
              <w:t>RequireApproval</w:t>
            </w:r>
          </w:p>
        </w:tc>
      </w:tr>
      <w:tr>
        <w:tc>
          <w:tcPr>
            <w:tcW w:type="dxa" w:w="2160"/>
          </w:tcPr>
          <w:p>
            <w:r>
              <w:t>Contract</w:t>
            </w:r>
          </w:p>
        </w:tc>
        <w:tc>
          <w:tcPr>
            <w:tcW w:type="dxa" w:w="2160"/>
          </w:tcPr>
          <w:p>
            <w:r>
              <w:t>Value &lt; 50,000</w:t>
            </w:r>
          </w:p>
        </w:tc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StandardReview</w:t>
            </w:r>
          </w:p>
        </w:tc>
      </w:tr>
      <w:tr>
        <w:tc>
          <w:tcPr>
            <w:tcW w:type="dxa" w:w="2160"/>
          </w:tcPr>
          <w:p>
            <w:r>
              <w:t>Resume</w:t>
            </w:r>
          </w:p>
        </w:tc>
        <w:tc>
          <w:tcPr>
            <w:tcW w:type="dxa" w:w="2160"/>
          </w:tcPr>
          <w:p>
            <w:r>
              <w:t>(all)</w:t>
            </w:r>
          </w:p>
        </w:tc>
        <w:tc>
          <w:tcPr>
            <w:tcW w:type="dxa" w:w="2160"/>
          </w:tcPr>
          <w:p>
            <w:r>
              <w:t>Recruiting</w:t>
            </w:r>
          </w:p>
        </w:tc>
        <w:tc>
          <w:tcPr>
            <w:tcW w:type="dxa" w:w="2160"/>
          </w:tcPr>
          <w:p>
            <w:r>
              <w:t>CreateCandidateRecord</w:t>
            </w:r>
          </w:p>
        </w:tc>
      </w:tr>
    </w:tbl>
    <w:p>
      <w:r>
        <w:rPr>
          <w:b/>
          <w:sz w:val="28"/>
        </w:rPr>
        <w:t>3. File placement conventions</w:t>
      </w:r>
    </w:p>
    <w:p>
      <w:pPr>
        <w:pStyle w:val="ListBullet"/>
      </w:pPr>
      <w:r>
        <w:t>Invoices go to: /IncomingDocuments/Invoices (or routed folder).</w:t>
      </w:r>
    </w:p>
    <w:p>
      <w:pPr>
        <w:pStyle w:val="ListBullet"/>
      </w:pPr>
      <w:r>
        <w:t>Contracts go to: /IncomingDocuments/Contracts.</w:t>
      </w:r>
    </w:p>
    <w:p>
      <w:pPr>
        <w:pStyle w:val="ListBullet"/>
      </w:pPr>
      <w:r>
        <w:t>Resumes go to: /IncomingDocuments/Resumes.</w:t>
      </w:r>
    </w:p>
    <w:p>
      <w:pPr>
        <w:pStyle w:val="ListBullet"/>
      </w:pPr>
      <w:r>
        <w:t>Completed items go to: /IncomingDocuments/Processed.</w:t>
      </w:r>
    </w:p>
    <w:p>
      <w:pPr>
        <w:pStyle w:val="ListBullet"/>
      </w:pPr>
      <w:r>
        <w:t>Failures and manual review items go to: /IncomingDocuments/Exceptions.</w:t>
      </w:r>
    </w:p>
    <w:p>
      <w:r>
        <w:rPr>
          <w:b/>
          <w:sz w:val="28"/>
        </w:rPr>
        <w:t>4. Reviewer notes template</w:t>
      </w:r>
    </w:p>
    <w:p>
      <w:pPr>
        <w:spacing w:after="120"/>
      </w:pPr>
      <w:r>
        <w:t>Use this format when manually correcting the agent.</w:t>
      </w:r>
    </w:p>
    <w:p>
      <w:pPr>
        <w:spacing w:after="120"/>
      </w:pPr>
      <w:r>
        <w:t>DocType: &lt;Invoice|Contract|Resume&gt;</w:t>
        <w:br/>
        <w:t>Confidence observed: &lt;0–1&gt;</w:t>
        <w:br/>
        <w:t>Correct route: &lt;folder&gt;</w:t>
        <w:br/>
        <w:t>Missing fields: &lt;comma-separated&gt;</w:t>
        <w:br/>
        <w:t>Comment: &lt;why&gt;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