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Contoso Electronics — Document Processor Knowledge Pack</w:t>
      </w:r>
    </w:p>
    <w:p>
      <w:pPr>
        <w:spacing w:after="120"/>
      </w:pPr>
      <w:r>
        <w:t>Purpose: Provide the Document Processor autonomous agent with stable reference material for document classification, metadata extraction, and routing decisions.</w:t>
      </w:r>
    </w:p>
    <w:p>
      <w:pPr>
        <w:spacing w:after="120"/>
      </w:pPr>
      <w:r>
        <w:t>This pack is designed for SharePoint-based ingestion and is written for a fictional mid-size electronics retailer (Contoso Electronics).</w:t>
      </w:r>
    </w:p>
    <w:p>
      <w:r>
        <w:rPr>
          <w:b/>
          <w:sz w:val="28"/>
        </w:rPr>
        <w:t>1. Document Types</w:t>
      </w:r>
    </w:p>
    <w:p>
      <w:pPr>
        <w:spacing w:after="120"/>
      </w:pPr>
      <w:r>
        <w:t>The agent recognizes three primary document types. Each type has required fields and a typical business owner.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Type</w:t>
            </w:r>
          </w:p>
        </w:tc>
        <w:tc>
          <w:tcPr>
            <w:tcW w:type="dxa" w:w="2160"/>
          </w:tcPr>
          <w:p>
            <w:r>
              <w:t>Primary Owner</w:t>
            </w:r>
          </w:p>
        </w:tc>
        <w:tc>
          <w:tcPr>
            <w:tcW w:type="dxa" w:w="2160"/>
          </w:tcPr>
          <w:p>
            <w:r>
              <w:t>Typical Source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Invoice</w:t>
            </w:r>
          </w:p>
        </w:tc>
        <w:tc>
          <w:tcPr>
            <w:tcW w:type="dxa" w:w="2160"/>
          </w:tcPr>
          <w:p>
            <w:r>
              <w:t>Accounts Payable (AP)</w:t>
            </w:r>
          </w:p>
        </w:tc>
        <w:tc>
          <w:tcPr>
            <w:tcW w:type="dxa" w:w="2160"/>
          </w:tcPr>
          <w:p>
            <w:r>
              <w:t>Vendors via email or SharePoint upload</w:t>
            </w:r>
          </w:p>
        </w:tc>
        <w:tc>
          <w:tcPr>
            <w:tcW w:type="dxa" w:w="2160"/>
          </w:tcPr>
          <w:p>
            <w:r>
              <w:t>May require manager approval based on amount.</w:t>
            </w:r>
          </w:p>
        </w:tc>
      </w:tr>
      <w:tr>
        <w:tc>
          <w:tcPr>
            <w:tcW w:type="dxa" w:w="2160"/>
          </w:tcPr>
          <w:p>
            <w:r>
              <w:t>Contract</w:t>
            </w:r>
          </w:p>
        </w:tc>
        <w:tc>
          <w:tcPr>
            <w:tcW w:type="dxa" w:w="2160"/>
          </w:tcPr>
          <w:p>
            <w:r>
              <w:t>Legal / Procurement</w:t>
            </w:r>
          </w:p>
        </w:tc>
        <w:tc>
          <w:tcPr>
            <w:tcW w:type="dxa" w:w="2160"/>
          </w:tcPr>
          <w:p>
            <w:r>
              <w:t>Vendor agreements, NDAs, MSAs</w:t>
            </w:r>
          </w:p>
        </w:tc>
        <w:tc>
          <w:tcPr>
            <w:tcW w:type="dxa" w:w="2160"/>
          </w:tcPr>
          <w:p>
            <w:r>
              <w:t>Often requires signature workflow.</w:t>
            </w:r>
          </w:p>
        </w:tc>
      </w:tr>
      <w:tr>
        <w:tc>
          <w:tcPr>
            <w:tcW w:type="dxa" w:w="2160"/>
          </w:tcPr>
          <w:p>
            <w:r>
              <w:t>Resume</w:t>
            </w:r>
          </w:p>
        </w:tc>
        <w:tc>
          <w:tcPr>
            <w:tcW w:type="dxa" w:w="2160"/>
          </w:tcPr>
          <w:p>
            <w:r>
              <w:t>Recruiting / HR</w:t>
            </w:r>
          </w:p>
        </w:tc>
        <w:tc>
          <w:tcPr>
            <w:tcW w:type="dxa" w:w="2160"/>
          </w:tcPr>
          <w:p>
            <w:r>
              <w:t>Candidate uploads, referrals</w:t>
            </w:r>
          </w:p>
        </w:tc>
        <w:tc>
          <w:tcPr>
            <w:tcW w:type="dxa" w:w="2160"/>
          </w:tcPr>
          <w:p>
            <w:r>
              <w:t>Contains personal data; retain minimally.</w:t>
            </w:r>
          </w:p>
        </w:tc>
      </w:tr>
    </w:tbl>
    <w:p>
      <w:r>
        <w:rPr>
          <w:b/>
          <w:sz w:val="28"/>
        </w:rPr>
        <w:t>2. Confidence Thresholds</w:t>
      </w:r>
    </w:p>
    <w:p>
      <w:pPr>
        <w:spacing w:after="120"/>
      </w:pPr>
      <w:r>
        <w:t>Routing behavior is governed by confidence thresholds. Values are expressed as percentages.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&gt;= 85%</w:t>
            </w:r>
          </w:p>
        </w:tc>
        <w:tc>
          <w:tcPr>
            <w:tcW w:type="dxa" w:w="4320"/>
          </w:tcPr>
          <w:p>
            <w:r>
              <w:t>Auto-route to destination folder and run extraction.</w:t>
            </w:r>
          </w:p>
        </w:tc>
      </w:tr>
      <w:tr>
        <w:tc>
          <w:tcPr>
            <w:tcW w:type="dxa" w:w="4320"/>
          </w:tcPr>
          <w:p>
            <w:r>
              <w:t>60%–84%</w:t>
            </w:r>
          </w:p>
        </w:tc>
        <w:tc>
          <w:tcPr>
            <w:tcW w:type="dxa" w:w="4320"/>
          </w:tcPr>
          <w:p>
            <w:r>
              <w:t>Route to manual review queue and suggest best-guess type.</w:t>
            </w:r>
          </w:p>
        </w:tc>
      </w:tr>
      <w:tr>
        <w:tc>
          <w:tcPr>
            <w:tcW w:type="dxa" w:w="4320"/>
          </w:tcPr>
          <w:p>
            <w:r>
              <w:t>&lt; 60%</w:t>
            </w:r>
          </w:p>
        </w:tc>
        <w:tc>
          <w:tcPr>
            <w:tcW w:type="dxa" w:w="4320"/>
          </w:tcPr>
          <w:p>
            <w:r>
              <w:t>Route to manual review queue with no suggested type.</w:t>
            </w:r>
          </w:p>
        </w:tc>
      </w:tr>
    </w:tbl>
    <w:p>
      <w:r>
        <w:rPr>
          <w:b/>
          <w:sz w:val="28"/>
        </w:rPr>
        <w:t>3. Required Fields by Type</w:t>
      </w:r>
    </w:p>
    <w:p>
      <w:pPr>
        <w:spacing w:after="120"/>
      </w:pPr>
      <w:r>
        <w:t>If a required field cannot be found, the agent must set it to null and request missing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Required Fields (JSON keys)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InvoiceNumber, Vendor, Amount, DueDate</w:t>
            </w:r>
          </w:p>
        </w:tc>
      </w:tr>
      <w:tr>
        <w:tc>
          <w:tcPr>
            <w:tcW w:type="dxa" w:w="4320"/>
          </w:tcPr>
          <w:p>
            <w:r>
              <w:t>Contract</w:t>
            </w:r>
          </w:p>
        </w:tc>
        <w:tc>
          <w:tcPr>
            <w:tcW w:type="dxa" w:w="4320"/>
          </w:tcPr>
          <w:p>
            <w:r>
              <w:t>Parties, EffectiveDate, Termination, Value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CandidateName, Email, Role, Skills</w:t>
            </w:r>
          </w:p>
        </w:tc>
      </w:tr>
    </w:tbl>
    <w:p>
      <w:r>
        <w:rPr>
          <w:b/>
          <w:sz w:val="28"/>
        </w:rPr>
        <w:t>4. Classification Heuristics</w:t>
      </w:r>
    </w:p>
    <w:p>
      <w:pPr>
        <w:spacing w:after="120"/>
      </w:pPr>
      <w:r>
        <w:t>The agent should use a blend of keywords, structure cues, and 'tell-tale' fields.</w:t>
      </w:r>
    </w:p>
    <w:p>
      <w:r>
        <w:rPr>
          <w:b/>
          <w:sz w:val="24"/>
        </w:rPr>
        <w:t>Invoice cues</w:t>
      </w:r>
    </w:p>
    <w:p>
      <w:pPr>
        <w:pStyle w:val="ListBullet"/>
      </w:pPr>
      <w:r>
        <w:t>Contains: invoice number, billing address, subtotal/tax/total lines, payment terms.</w:t>
      </w:r>
    </w:p>
    <w:p>
      <w:pPr>
        <w:pStyle w:val="ListBullet"/>
      </w:pPr>
      <w:r>
        <w:t>Often includes: PO number, due date, remit-to instructions, bank details (redact if sharing).</w:t>
      </w:r>
    </w:p>
    <w:p>
      <w:pPr>
        <w:pStyle w:val="ListBullet"/>
      </w:pPr>
      <w:r>
        <w:t>Common headings: 'INVOICE', 'BILL TO', 'AMOUNT DUE'.</w:t>
      </w:r>
    </w:p>
    <w:p>
      <w:r>
        <w:rPr>
          <w:b/>
          <w:sz w:val="24"/>
        </w:rPr>
        <w:t>Contract cues</w:t>
      </w:r>
    </w:p>
    <w:p>
      <w:pPr>
        <w:pStyle w:val="ListBullet"/>
      </w:pPr>
      <w:r>
        <w:t>Contains: parties, effective date, term/termination clause, governing law, signature blocks.</w:t>
      </w:r>
    </w:p>
    <w:p>
      <w:pPr>
        <w:pStyle w:val="ListBullet"/>
      </w:pPr>
      <w:r>
        <w:t>Common headings: 'MASTER SERVICES AGREEMENT', 'STATEMENT OF WORK', 'CONFIDENTIALITY'.</w:t>
      </w:r>
    </w:p>
    <w:p>
      <w:r>
        <w:rPr>
          <w:b/>
          <w:sz w:val="24"/>
        </w:rPr>
        <w:t>Resume cues</w:t>
      </w:r>
    </w:p>
    <w:p>
      <w:pPr>
        <w:pStyle w:val="ListBullet"/>
      </w:pPr>
      <w:r>
        <w:t>Contains: candidate name, contact info, skills list, work history, education.</w:t>
      </w:r>
    </w:p>
    <w:p>
      <w:pPr>
        <w:pStyle w:val="ListBullet"/>
      </w:pPr>
      <w:r>
        <w:t>Often includes: LinkedIn URL, certifications, portfolio links.</w:t>
      </w:r>
    </w:p>
    <w:p>
      <w:r>
        <w:rPr>
          <w:b/>
          <w:sz w:val="28"/>
        </w:rPr>
        <w:t>5. Manual Review Guidance</w:t>
      </w:r>
    </w:p>
    <w:p>
      <w:pPr>
        <w:spacing w:after="120"/>
      </w:pPr>
      <w:r>
        <w:t>When routing to manual review, include a short reviewer note that states: suggested type (if any), confidence, and the top 3 reasons for the classification.</w:t>
      </w:r>
    </w:p>
    <w:p>
      <w:pPr>
        <w:spacing w:after="120"/>
      </w:pPr>
      <w:r>
        <w:t>Example reviewer note:</w:t>
      </w:r>
    </w:p>
    <w:p>
      <w:pPr>
        <w:spacing w:after="120"/>
      </w:pPr>
      <w:r>
        <w:t>Suggested type: Invoice (73%). Reasons: contains 'Invoice #', has line items with unit price, includes 'Amount Due' and a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