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Contoso Electronics — Data Retention &amp; Privacy (Onboarding for the Doc Processor Agent)</w:t>
      </w:r>
    </w:p>
    <w:p>
      <w:pPr>
        <w:spacing w:after="120"/>
      </w:pPr>
      <w:r>
        <w:t>Scope: Documents processed by the Document Processor autonomous agent, including invoices, contracts, and resumes.</w:t>
      </w:r>
    </w:p>
    <w:p>
      <w:r>
        <w:rPr>
          <w:b/>
          <w:sz w:val="28"/>
        </w:rPr>
        <w:t>PII/Confidential Data categories</w:t>
      </w:r>
    </w:p>
    <w:p>
      <w:pPr>
        <w:pStyle w:val="ListBullet"/>
      </w:pPr>
      <w:r>
        <w:t>Resumes: name, email, phone, address, work history, education (personal data).</w:t>
      </w:r>
    </w:p>
    <w:p>
      <w:pPr>
        <w:pStyle w:val="ListBullet"/>
      </w:pPr>
      <w:r>
        <w:t>Contracts: pricing, security clauses, trade secrets (confidential business data).</w:t>
      </w:r>
    </w:p>
    <w:p>
      <w:pPr>
        <w:pStyle w:val="ListBullet"/>
      </w:pPr>
      <w:r>
        <w:t>Invoices: bank/remittance details, vendor addresses (sensitive operational data).</w:t>
      </w:r>
    </w:p>
    <w:p>
      <w:r>
        <w:rPr>
          <w:b/>
          <w:sz w:val="28"/>
        </w:rPr>
        <w:t>Retention guidance (fictional policy)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Accounting and tax requirements (example policy).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7 years after termination</w:t>
            </w:r>
          </w:p>
        </w:tc>
        <w:tc>
          <w:tcPr>
            <w:tcW w:type="dxa" w:w="2880"/>
          </w:tcPr>
          <w:p>
            <w:r>
              <w:t>Auditability for legal disputes and renewals.</w:t>
            </w:r>
          </w:p>
        </w:tc>
      </w:tr>
      <w:tr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2880"/>
          </w:tcPr>
          <w:p>
            <w:r>
              <w:t>12 months from last activity</w:t>
            </w:r>
          </w:p>
        </w:tc>
        <w:tc>
          <w:tcPr>
            <w:tcW w:type="dxa" w:w="2880"/>
          </w:tcPr>
          <w:p>
            <w:r>
              <w:t>Minimize personal data retention.</w:t>
            </w:r>
          </w:p>
        </w:tc>
      </w:tr>
    </w:tbl>
    <w:p>
      <w:r>
        <w:rPr>
          <w:b/>
          <w:sz w:val="28"/>
        </w:rPr>
        <w:t>Agent behavior requirements</w:t>
      </w:r>
    </w:p>
    <w:p>
      <w:pPr>
        <w:pStyle w:val="ListBullet"/>
      </w:pPr>
      <w:r>
        <w:t>Do not copy documents into Teams chats. Post links instead.</w:t>
      </w:r>
    </w:p>
    <w:p>
      <w:pPr>
        <w:pStyle w:val="ListBullet"/>
      </w:pPr>
      <w:r>
        <w:t>Never echo full bank account numbers or SSNs in messages. Mask sensitive strings.</w:t>
      </w:r>
    </w:p>
    <w:p>
      <w:pPr>
        <w:pStyle w:val="ListBullet"/>
      </w:pPr>
      <w:r>
        <w:t>Route resumes only to Recruiting destinations. Never to Finance folders.</w:t>
      </w:r>
    </w:p>
    <w:p>
      <w:pPr>
        <w:pStyle w:val="ListBullet"/>
      </w:pPr>
      <w:r>
        <w:t>Log only non-sensitive metadata (document type, confidence score, routing decision).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