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Evaluation and key findings</w:t>
      </w:r>
    </w:p>
    <w:p>
      <w:r>
        <w:rPr>
          <w:i/>
          <w:sz w:val="18"/>
        </w:rPr>
        <w:t>Rudi Jan du Plessis</w:t>
      </w:r>
    </w:p>
    <w:p>
      <w:r>
        <w:rPr>
          <w:i w:val="0"/>
        </w:rPr>
        <w:t>All four candidates were tuned with stratified five-fold cross-validation on the training set and then scored once on the untouched 30% test set (6,279 households, 1,919 of them food insecure). Because the three-tier target could not separate the thin middle tier — no three-tier model recalls more than 3.2% of mildly-to-moderately insecure households, and the best-ranking one manages 0.3% — the deployable question was reframed as a binary screen: is this household at risk of any food insecurity? Models are therefore compared on how well they rank households by risk, not on accuracy, which the 69% food-secure majority would flatter.</w:t>
      </w:r>
    </w:p>
    <w:p>
      <w:pPr>
        <w:spacing w:after="40"/>
      </w:pPr>
      <w:r>
        <w:rPr>
          <w:i/>
          <w:sz w:val="18"/>
        </w:rPr>
        <w:t>Table 4.1 Screening performance on the test set, each model at its own 80%-recall threshold (source: data/evaluation/evaluation_matrix.csv)</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0"/>
            </w:pPr>
            <w:r>
              <w:rPr>
                <w:b/>
                <w:sz w:val="18"/>
              </w:rPr>
              <w:t>Model</w:t>
            </w:r>
          </w:p>
        </w:tc>
        <w:tc>
          <w:tcPr>
            <w:tcW w:type="dxa" w:w="1080"/>
          </w:tcPr>
          <w:p>
            <w:pPr>
              <w:spacing w:after="0"/>
            </w:pPr>
            <w:r>
              <w:rPr>
                <w:b/>
                <w:sz w:val="18"/>
              </w:rPr>
              <w:t>ROC-AUC</w:t>
            </w:r>
          </w:p>
        </w:tc>
        <w:tc>
          <w:tcPr>
            <w:tcW w:type="dxa" w:w="1080"/>
          </w:tcPr>
          <w:p>
            <w:pPr>
              <w:spacing w:after="0"/>
            </w:pPr>
            <w:r>
              <w:rPr>
                <w:b/>
                <w:sz w:val="18"/>
              </w:rPr>
              <w:t>Threshold</w:t>
            </w:r>
          </w:p>
        </w:tc>
        <w:tc>
          <w:tcPr>
            <w:tcW w:type="dxa" w:w="1080"/>
          </w:tcPr>
          <w:p>
            <w:pPr>
              <w:spacing w:after="0"/>
            </w:pPr>
            <w:r>
              <w:rPr>
                <w:b/>
                <w:sz w:val="18"/>
              </w:rPr>
              <w:t>Recall</w:t>
            </w:r>
          </w:p>
        </w:tc>
        <w:tc>
          <w:tcPr>
            <w:tcW w:type="dxa" w:w="1080"/>
          </w:tcPr>
          <w:p>
            <w:pPr>
              <w:spacing w:after="0"/>
            </w:pPr>
            <w:r>
              <w:rPr>
                <w:b/>
                <w:sz w:val="18"/>
              </w:rPr>
              <w:t>Precision</w:t>
            </w:r>
          </w:p>
        </w:tc>
        <w:tc>
          <w:tcPr>
            <w:tcW w:type="dxa" w:w="1080"/>
          </w:tcPr>
          <w:p>
            <w:pPr>
              <w:spacing w:after="0"/>
            </w:pPr>
            <w:r>
              <w:rPr>
                <w:b/>
                <w:sz w:val="18"/>
              </w:rPr>
              <w:t>Referred</w:t>
            </w:r>
          </w:p>
        </w:tc>
        <w:tc>
          <w:tcPr>
            <w:tcW w:type="dxa" w:w="1080"/>
          </w:tcPr>
          <w:p>
            <w:pPr>
              <w:spacing w:after="0"/>
            </w:pPr>
            <w:r>
              <w:rPr>
                <w:b/>
                <w:sz w:val="18"/>
              </w:rPr>
              <w:t>Brier</w:t>
            </w:r>
          </w:p>
        </w:tc>
        <w:tc>
          <w:tcPr>
            <w:tcW w:type="dxa" w:w="1080"/>
          </w:tcPr>
          <w:p>
            <w:pPr>
              <w:spacing w:after="0"/>
            </w:pPr>
            <w:r>
              <w:rPr>
                <w:b/>
                <w:sz w:val="18"/>
              </w:rPr>
              <w:t>ECE</w:t>
            </w:r>
          </w:p>
        </w:tc>
      </w:tr>
      <w:tr>
        <w:tc>
          <w:tcPr>
            <w:tcW w:type="dxa" w:w="1080"/>
          </w:tcPr>
          <w:p>
            <w:pPr>
              <w:spacing w:after="0"/>
            </w:pPr>
            <w:r>
              <w:rPr>
                <w:b/>
                <w:sz w:val="18"/>
              </w:rPr>
              <w:t>Binary logistic</w:t>
            </w:r>
          </w:p>
        </w:tc>
        <w:tc>
          <w:tcPr>
            <w:tcW w:type="dxa" w:w="1080"/>
          </w:tcPr>
          <w:p>
            <w:pPr>
              <w:spacing w:after="0"/>
            </w:pPr>
            <w:r>
              <w:rPr>
                <w:b/>
                <w:sz w:val="18"/>
              </w:rPr>
              <w:t>0.736</w:t>
            </w:r>
          </w:p>
        </w:tc>
        <w:tc>
          <w:tcPr>
            <w:tcW w:type="dxa" w:w="1080"/>
          </w:tcPr>
          <w:p>
            <w:pPr>
              <w:spacing w:after="0"/>
            </w:pPr>
            <w:r>
              <w:rPr>
                <w:b/>
                <w:sz w:val="18"/>
              </w:rPr>
              <w:t>0.24</w:t>
            </w:r>
          </w:p>
        </w:tc>
        <w:tc>
          <w:tcPr>
            <w:tcW w:type="dxa" w:w="1080"/>
          </w:tcPr>
          <w:p>
            <w:pPr>
              <w:spacing w:after="0"/>
            </w:pPr>
            <w:r>
              <w:rPr>
                <w:b/>
                <w:sz w:val="18"/>
              </w:rPr>
              <w:t>80.7%</w:t>
            </w:r>
          </w:p>
        </w:tc>
        <w:tc>
          <w:tcPr>
            <w:tcW w:type="dxa" w:w="1080"/>
          </w:tcPr>
          <w:p>
            <w:pPr>
              <w:spacing w:after="0"/>
            </w:pPr>
            <w:r>
              <w:rPr>
                <w:b/>
                <w:sz w:val="18"/>
              </w:rPr>
              <w:t>41.9%</w:t>
            </w:r>
          </w:p>
        </w:tc>
        <w:tc>
          <w:tcPr>
            <w:tcW w:type="dxa" w:w="1080"/>
          </w:tcPr>
          <w:p>
            <w:pPr>
              <w:spacing w:after="0"/>
            </w:pPr>
            <w:r>
              <w:rPr>
                <w:b/>
                <w:sz w:val="18"/>
              </w:rPr>
              <w:t>58.9%</w:t>
            </w:r>
          </w:p>
        </w:tc>
        <w:tc>
          <w:tcPr>
            <w:tcW w:type="dxa" w:w="1080"/>
          </w:tcPr>
          <w:p>
            <w:pPr>
              <w:spacing w:after="0"/>
            </w:pPr>
            <w:r>
              <w:rPr>
                <w:b/>
                <w:sz w:val="18"/>
              </w:rPr>
              <w:t>0.180</w:t>
            </w:r>
          </w:p>
        </w:tc>
        <w:tc>
          <w:tcPr>
            <w:tcW w:type="dxa" w:w="1080"/>
          </w:tcPr>
          <w:p>
            <w:pPr>
              <w:spacing w:after="0"/>
            </w:pPr>
            <w:r>
              <w:rPr>
                <w:b/>
                <w:sz w:val="18"/>
              </w:rPr>
              <w:t>0.012</w:t>
            </w:r>
          </w:p>
        </w:tc>
      </w:tr>
      <w:tr>
        <w:tc>
          <w:tcPr>
            <w:tcW w:type="dxa" w:w="1080"/>
          </w:tcPr>
          <w:p>
            <w:pPr>
              <w:spacing w:after="0"/>
            </w:pPr>
            <w:r>
              <w:rPr>
                <w:b w:val="0"/>
                <w:sz w:val="18"/>
              </w:rPr>
              <w:t>Random forest</w:t>
            </w:r>
          </w:p>
        </w:tc>
        <w:tc>
          <w:tcPr>
            <w:tcW w:type="dxa" w:w="1080"/>
          </w:tcPr>
          <w:p>
            <w:pPr>
              <w:spacing w:after="0"/>
            </w:pPr>
            <w:r>
              <w:rPr>
                <w:b w:val="0"/>
                <w:sz w:val="18"/>
              </w:rPr>
              <w:t>0.745</w:t>
            </w:r>
          </w:p>
        </w:tc>
        <w:tc>
          <w:tcPr>
            <w:tcW w:type="dxa" w:w="1080"/>
          </w:tcPr>
          <w:p>
            <w:pPr>
              <w:spacing w:after="0"/>
            </w:pPr>
            <w:r>
              <w:rPr>
                <w:b w:val="0"/>
                <w:sz w:val="18"/>
              </w:rPr>
              <w:t>0.23</w:t>
            </w:r>
          </w:p>
        </w:tc>
        <w:tc>
          <w:tcPr>
            <w:tcW w:type="dxa" w:w="1080"/>
          </w:tcPr>
          <w:p>
            <w:pPr>
              <w:spacing w:after="0"/>
            </w:pPr>
            <w:r>
              <w:rPr>
                <w:b w:val="0"/>
                <w:sz w:val="18"/>
              </w:rPr>
              <w:t>79.9%</w:t>
            </w:r>
          </w:p>
        </w:tc>
        <w:tc>
          <w:tcPr>
            <w:tcW w:type="dxa" w:w="1080"/>
          </w:tcPr>
          <w:p>
            <w:pPr>
              <w:spacing w:after="0"/>
            </w:pPr>
            <w:r>
              <w:rPr>
                <w:b w:val="0"/>
                <w:sz w:val="18"/>
              </w:rPr>
              <w:t>42.8%</w:t>
            </w:r>
          </w:p>
        </w:tc>
        <w:tc>
          <w:tcPr>
            <w:tcW w:type="dxa" w:w="1080"/>
          </w:tcPr>
          <w:p>
            <w:pPr>
              <w:spacing w:after="0"/>
            </w:pPr>
            <w:r>
              <w:rPr>
                <w:b w:val="0"/>
                <w:sz w:val="18"/>
              </w:rPr>
              <w:t>57.1%</w:t>
            </w:r>
          </w:p>
        </w:tc>
        <w:tc>
          <w:tcPr>
            <w:tcW w:type="dxa" w:w="1080"/>
          </w:tcPr>
          <w:p>
            <w:pPr>
              <w:spacing w:after="0"/>
            </w:pPr>
            <w:r>
              <w:rPr>
                <w:b w:val="0"/>
                <w:sz w:val="18"/>
              </w:rPr>
              <w:t>0.177</w:t>
            </w:r>
          </w:p>
        </w:tc>
        <w:tc>
          <w:tcPr>
            <w:tcW w:type="dxa" w:w="1080"/>
          </w:tcPr>
          <w:p>
            <w:pPr>
              <w:spacing w:after="0"/>
            </w:pPr>
            <w:r>
              <w:rPr>
                <w:b w:val="0"/>
                <w:sz w:val="18"/>
              </w:rPr>
              <w:t>0.012</w:t>
            </w:r>
          </w:p>
        </w:tc>
      </w:tr>
      <w:tr>
        <w:tc>
          <w:tcPr>
            <w:tcW w:type="dxa" w:w="1080"/>
          </w:tcPr>
          <w:p>
            <w:pPr>
              <w:spacing w:after="0"/>
            </w:pPr>
            <w:r>
              <w:rPr>
                <w:b w:val="0"/>
                <w:sz w:val="18"/>
              </w:rPr>
              <w:t>Multinomial logistic</w:t>
            </w:r>
          </w:p>
        </w:tc>
        <w:tc>
          <w:tcPr>
            <w:tcW w:type="dxa" w:w="1080"/>
          </w:tcPr>
          <w:p>
            <w:pPr>
              <w:spacing w:after="0"/>
            </w:pPr>
            <w:r>
              <w:rPr>
                <w:b w:val="0"/>
                <w:sz w:val="18"/>
              </w:rPr>
              <w:t>0.736</w:t>
            </w:r>
          </w:p>
        </w:tc>
        <w:tc>
          <w:tcPr>
            <w:tcW w:type="dxa" w:w="1080"/>
          </w:tcPr>
          <w:p>
            <w:pPr>
              <w:spacing w:after="0"/>
            </w:pPr>
            <w:r>
              <w:rPr>
                <w:b w:val="0"/>
                <w:sz w:val="18"/>
              </w:rPr>
              <w:t>0.23</w:t>
            </w:r>
          </w:p>
        </w:tc>
        <w:tc>
          <w:tcPr>
            <w:tcW w:type="dxa" w:w="1080"/>
          </w:tcPr>
          <w:p>
            <w:pPr>
              <w:spacing w:after="0"/>
            </w:pPr>
            <w:r>
              <w:rPr>
                <w:b w:val="0"/>
                <w:sz w:val="18"/>
              </w:rPr>
              <w:t>82.4%</w:t>
            </w:r>
          </w:p>
        </w:tc>
        <w:tc>
          <w:tcPr>
            <w:tcW w:type="dxa" w:w="1080"/>
          </w:tcPr>
          <w:p>
            <w:pPr>
              <w:spacing w:after="0"/>
            </w:pPr>
            <w:r>
              <w:rPr>
                <w:b w:val="0"/>
                <w:sz w:val="18"/>
              </w:rPr>
              <w:t>41.0%</w:t>
            </w:r>
          </w:p>
        </w:tc>
        <w:tc>
          <w:tcPr>
            <w:tcW w:type="dxa" w:w="1080"/>
          </w:tcPr>
          <w:p>
            <w:pPr>
              <w:spacing w:after="0"/>
            </w:pPr>
            <w:r>
              <w:rPr>
                <w:b w:val="0"/>
                <w:sz w:val="18"/>
              </w:rPr>
              <w:t>61.4%</w:t>
            </w:r>
          </w:p>
        </w:tc>
        <w:tc>
          <w:tcPr>
            <w:tcW w:type="dxa" w:w="1080"/>
          </w:tcPr>
          <w:p>
            <w:pPr>
              <w:spacing w:after="0"/>
            </w:pPr>
            <w:r>
              <w:rPr>
                <w:b w:val="0"/>
                <w:sz w:val="18"/>
              </w:rPr>
              <w:t>0.180</w:t>
            </w:r>
          </w:p>
        </w:tc>
        <w:tc>
          <w:tcPr>
            <w:tcW w:type="dxa" w:w="1080"/>
          </w:tcPr>
          <w:p>
            <w:pPr>
              <w:spacing w:after="0"/>
            </w:pPr>
            <w:r>
              <w:rPr>
                <w:b w:val="0"/>
                <w:sz w:val="18"/>
              </w:rPr>
              <w:t>0.010</w:t>
            </w:r>
          </w:p>
        </w:tc>
      </w:tr>
      <w:tr>
        <w:tc>
          <w:tcPr>
            <w:tcW w:type="dxa" w:w="1080"/>
          </w:tcPr>
          <w:p>
            <w:pPr>
              <w:spacing w:after="0"/>
            </w:pPr>
            <w:r>
              <w:rPr>
                <w:b w:val="0"/>
                <w:sz w:val="18"/>
              </w:rPr>
              <w:t>Decision tree</w:t>
            </w:r>
          </w:p>
        </w:tc>
        <w:tc>
          <w:tcPr>
            <w:tcW w:type="dxa" w:w="1080"/>
          </w:tcPr>
          <w:p>
            <w:pPr>
              <w:spacing w:after="0"/>
            </w:pPr>
            <w:r>
              <w:rPr>
                <w:b w:val="0"/>
                <w:sz w:val="18"/>
              </w:rPr>
              <w:t>0.727</w:t>
            </w:r>
          </w:p>
        </w:tc>
        <w:tc>
          <w:tcPr>
            <w:tcW w:type="dxa" w:w="1080"/>
          </w:tcPr>
          <w:p>
            <w:pPr>
              <w:spacing w:after="0"/>
            </w:pPr>
            <w:r>
              <w:rPr>
                <w:b w:val="0"/>
                <w:sz w:val="18"/>
              </w:rPr>
              <w:t>0.19</w:t>
            </w:r>
          </w:p>
        </w:tc>
        <w:tc>
          <w:tcPr>
            <w:tcW w:type="dxa" w:w="1080"/>
          </w:tcPr>
          <w:p>
            <w:pPr>
              <w:spacing w:after="0"/>
            </w:pPr>
            <w:r>
              <w:rPr>
                <w:b w:val="0"/>
                <w:sz w:val="18"/>
              </w:rPr>
              <w:t>79.9%</w:t>
            </w:r>
          </w:p>
        </w:tc>
        <w:tc>
          <w:tcPr>
            <w:tcW w:type="dxa" w:w="1080"/>
          </w:tcPr>
          <w:p>
            <w:pPr>
              <w:spacing w:after="0"/>
            </w:pPr>
            <w:r>
              <w:rPr>
                <w:b w:val="0"/>
                <w:sz w:val="18"/>
              </w:rPr>
              <w:t>42.2%</w:t>
            </w:r>
          </w:p>
        </w:tc>
        <w:tc>
          <w:tcPr>
            <w:tcW w:type="dxa" w:w="1080"/>
          </w:tcPr>
          <w:p>
            <w:pPr>
              <w:spacing w:after="0"/>
            </w:pPr>
            <w:r>
              <w:rPr>
                <w:b w:val="0"/>
                <w:sz w:val="18"/>
              </w:rPr>
              <w:t>57.9%</w:t>
            </w:r>
          </w:p>
        </w:tc>
        <w:tc>
          <w:tcPr>
            <w:tcW w:type="dxa" w:w="1080"/>
          </w:tcPr>
          <w:p>
            <w:pPr>
              <w:spacing w:after="0"/>
            </w:pPr>
            <w:r>
              <w:rPr>
                <w:b w:val="0"/>
                <w:sz w:val="18"/>
              </w:rPr>
              <w:t>0.187</w:t>
            </w:r>
          </w:p>
        </w:tc>
        <w:tc>
          <w:tcPr>
            <w:tcW w:type="dxa" w:w="1080"/>
          </w:tcPr>
          <w:p>
            <w:pPr>
              <w:spacing w:after="0"/>
            </w:pPr>
            <w:r>
              <w:rPr>
                <w:b w:val="0"/>
                <w:sz w:val="18"/>
              </w:rPr>
              <w:t>0.040</w:t>
            </w:r>
          </w:p>
        </w:tc>
      </w:tr>
    </w:tbl>
    <w:p>
      <w:pPr>
        <w:spacing w:after="80"/>
      </w:pPr>
    </w:p>
    <w:p>
      <w:pPr>
        <w:pStyle w:val="Heading2"/>
      </w:pPr>
      <w:r>
        <w:t>Why this model and this threshold</w:t>
      </w:r>
    </w:p>
    <w:p>
      <w:r>
        <w:rPr>
          <w:i w:val="0"/>
        </w:rPr>
        <w:t>The selected model is the lasso (glmnet) binary logistic regression at a referral threshold of 0.24. The threshold was fixed on cross-validation, never on the test set, using a policy rule agreed before evaluation: find at least 80% of at-risk households at the fewest referrals. On the test set it finds 80.7% of at-risk households and 85.7% of the severely food insecure, while referring 58.9% of households at 41.9% precision. The F2-optimal threshold of 0.14 was rejected because it refers 83.8% of all households — more outreach capacity than the institute has — and the default 0.5 was rejected because it misses 68.9% of at-risk households. The random forest scores marginally higher (AUC 0.745 against 0.736; bootstrap difference +0.009, 95% CI 0.002–0.016), but the logistic model was chosen for one interpretable odds ratio per factor, equally good calibration and a direct fit with the Shiny app. The gain is real but too small to pay for the loss of explanation in a tool that must justify every referral to an official.</w:t>
      </w:r>
    </w:p>
    <w:p>
      <w:r>
        <w:rPr>
          <w:i w:val="0"/>
        </w:rPr>
        <w:t>The model generalises: cross-validated AUC was 0.733 against 0.736 on test, a gap of 0.0024, so there is no meaningful overfitting. Its probabilities are usable as probabilities rather than just as a ranking (Brier 0.180, expected calibration error 0.012). Re-weighting the test set with the survey weights moves recall from 80.7% to 78.3%, so the result is not an artefact of the sample design.</w:t>
      </w:r>
    </w:p>
    <w:p>
      <w:pPr>
        <w:pStyle w:val="Heading2"/>
      </w:pPr>
      <w:r>
        <w:t>What drives risk, and what the data says about the hypotheses</w:t>
      </w:r>
    </w:p>
    <w:p>
      <w:r>
        <w:rPr>
          <w:i w:val="0"/>
        </w:rPr>
        <w:t>Permutation importance on the test set ranks the drivers consistently across all three models: income change vs a year ago (0.082), income per person (0.033), number of grant recipients (0.029), household income (log) (0.021). Everything else — electricity, settlement type, toilet type and household size — adds little once income is known. The odds ratios below come from an unpenalised logistic fit on the training data; Person A's tuned penalty was effectively zero, so they describe the deployed model while adding confidence intervals. All of these are associations, not causes.</w:t>
      </w:r>
    </w:p>
    <w:p>
      <w:pPr>
        <w:spacing w:after="40"/>
      </w:pPr>
      <w:r>
        <w:rPr>
          <w:i/>
          <w:sz w:val="18"/>
        </w:rPr>
        <w:t>Table 4.2 Milestone 1 hypotheses against the final evidence (odds ratios with 95% CI)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0"/>
            </w:pPr>
            <w:r>
              <w:rPr>
                <w:b/>
                <w:sz w:val="18"/>
              </w:rPr>
              <w:t>Hypothesis</w:t>
            </w:r>
          </w:p>
        </w:tc>
        <w:tc>
          <w:tcPr>
            <w:tcW w:type="dxa" w:w="2880"/>
          </w:tcPr>
          <w:p>
            <w:pPr>
              <w:spacing w:after="0"/>
            </w:pPr>
            <w:r>
              <w:rPr>
                <w:b/>
                <w:sz w:val="18"/>
              </w:rPr>
              <w:t>Evidence</w:t>
            </w:r>
          </w:p>
        </w:tc>
        <w:tc>
          <w:tcPr>
            <w:tcW w:type="dxa" w:w="2880"/>
          </w:tcPr>
          <w:p>
            <w:pPr>
              <w:spacing w:after="0"/>
            </w:pPr>
            <w:r>
              <w:rPr>
                <w:b/>
                <w:sz w:val="18"/>
              </w:rPr>
              <w:t>Verdict</w:t>
            </w:r>
          </w:p>
        </w:tc>
      </w:tr>
      <w:tr>
        <w:tc>
          <w:tcPr>
            <w:tcW w:type="dxa" w:w="2880"/>
          </w:tcPr>
          <w:p>
            <w:pPr>
              <w:spacing w:after="0"/>
            </w:pPr>
            <w:r>
              <w:rPr>
                <w:b w:val="0"/>
                <w:sz w:val="18"/>
              </w:rPr>
              <w:t>H1 Falling income raises risk</w:t>
            </w:r>
          </w:p>
        </w:tc>
        <w:tc>
          <w:tcPr>
            <w:tcW w:type="dxa" w:w="2880"/>
          </w:tcPr>
          <w:p>
            <w:pPr>
              <w:spacing w:after="0"/>
            </w:pPr>
            <w:r>
              <w:rPr>
                <w:b w:val="0"/>
                <w:sz w:val="18"/>
              </w:rPr>
              <w:t>58.3% food insecure where income is much lower, against 18.4–21.2% mid-scale; OR 2.05 (1.62–2.59). Strongest predictor in every model. But code 1 (much higher) is also 34.8%.</w:t>
            </w:r>
          </w:p>
        </w:tc>
        <w:tc>
          <w:tcPr>
            <w:tcW w:type="dxa" w:w="2880"/>
          </w:tcPr>
          <w:p>
            <w:pPr>
              <w:spacing w:after="0"/>
            </w:pPr>
            <w:r>
              <w:rPr>
                <w:b w:val="0"/>
                <w:sz w:val="18"/>
              </w:rPr>
              <w:t>Supported; U-shaped, not linear</w:t>
            </w:r>
          </w:p>
        </w:tc>
      </w:tr>
      <w:tr>
        <w:tc>
          <w:tcPr>
            <w:tcW w:type="dxa" w:w="2880"/>
          </w:tcPr>
          <w:p>
            <w:pPr>
              <w:spacing w:after="0"/>
            </w:pPr>
            <w:r>
              <w:rPr>
                <w:b w:val="0"/>
                <w:sz w:val="18"/>
              </w:rPr>
              <w:t>H2 Rural households more at risk, income held equal</w:t>
            </w:r>
          </w:p>
        </w:tc>
        <w:tc>
          <w:tcPr>
            <w:tcW w:type="dxa" w:w="2880"/>
          </w:tcPr>
          <w:p>
            <w:pPr>
              <w:spacing w:after="0"/>
            </w:pPr>
            <w:r>
              <w:rPr>
                <w:b w:val="0"/>
                <w:sz w:val="18"/>
              </w:rPr>
              <w:t>Raw 34.8% rural against 28.5% urban, but adjusted OR 0.76 (0.66–0.87).</w:t>
            </w:r>
          </w:p>
        </w:tc>
        <w:tc>
          <w:tcPr>
            <w:tcW w:type="dxa" w:w="2880"/>
          </w:tcPr>
          <w:p>
            <w:pPr>
              <w:spacing w:after="0"/>
            </w:pPr>
            <w:r>
              <w:rPr>
                <w:b w:val="0"/>
                <w:sz w:val="18"/>
              </w:rPr>
              <w:t>Not supported; the gap is income and services</w:t>
            </w:r>
          </w:p>
        </w:tc>
      </w:tr>
      <w:tr>
        <w:tc>
          <w:tcPr>
            <w:tcW w:type="dxa" w:w="2880"/>
          </w:tcPr>
          <w:p>
            <w:pPr>
              <w:spacing w:after="0"/>
            </w:pPr>
            <w:r>
              <w:rPr>
                <w:b w:val="0"/>
                <w:sz w:val="18"/>
              </w:rPr>
              <w:t>H3 Larger households more at risk at fixed income</w:t>
            </w:r>
          </w:p>
        </w:tc>
        <w:tc>
          <w:tcPr>
            <w:tcW w:type="dxa" w:w="2880"/>
          </w:tcPr>
          <w:p>
            <w:pPr>
              <w:spacing w:after="0"/>
            </w:pPr>
            <w:r>
              <w:rPr>
                <w:b w:val="0"/>
                <w:sz w:val="18"/>
              </w:rPr>
              <w:t>OR 1.04 (1.01–1.07) per member. Raw rates rise 26.8% → 42.6%, but mostly through income per person (importance rank 2).</w:t>
            </w:r>
          </w:p>
        </w:tc>
        <w:tc>
          <w:tcPr>
            <w:tcW w:type="dxa" w:w="2880"/>
          </w:tcPr>
          <w:p>
            <w:pPr>
              <w:spacing w:after="0"/>
            </w:pPr>
            <w:r>
              <w:rPr>
                <w:b w:val="0"/>
                <w:sz w:val="18"/>
              </w:rPr>
              <w:t>Supported, weak direct effect</w:t>
            </w:r>
          </w:p>
        </w:tc>
      </w:tr>
      <w:tr>
        <w:tc>
          <w:tcPr>
            <w:tcW w:type="dxa" w:w="2880"/>
          </w:tcPr>
          <w:p>
            <w:pPr>
              <w:spacing w:after="0"/>
            </w:pPr>
            <w:r>
              <w:rPr>
                <w:b w:val="0"/>
                <w:sz w:val="18"/>
              </w:rPr>
              <w:t>H4 No electricity raises risk</w:t>
            </w:r>
          </w:p>
        </w:tc>
        <w:tc>
          <w:tcPr>
            <w:tcW w:type="dxa" w:w="2880"/>
          </w:tcPr>
          <w:p>
            <w:pPr>
              <w:spacing w:after="0"/>
            </w:pPr>
            <w:r>
              <w:rPr>
                <w:b w:val="0"/>
                <w:sz w:val="18"/>
              </w:rPr>
              <w:t>47.0% against 29.7%; OR 2.07 (1.73–2.48). Only ~5% of households lack electricity, so it carries little predictive weight.</w:t>
            </w:r>
          </w:p>
        </w:tc>
        <w:tc>
          <w:tcPr>
            <w:tcW w:type="dxa" w:w="2880"/>
          </w:tcPr>
          <w:p>
            <w:pPr>
              <w:spacing w:after="0"/>
            </w:pPr>
            <w:r>
              <w:rPr>
                <w:b w:val="0"/>
                <w:sz w:val="18"/>
              </w:rPr>
              <w:t>Supported</w:t>
            </w:r>
          </w:p>
        </w:tc>
      </w:tr>
      <w:tr>
        <w:tc>
          <w:tcPr>
            <w:tcW w:type="dxa" w:w="2880"/>
          </w:tcPr>
          <w:p>
            <w:pPr>
              <w:spacing w:after="0"/>
            </w:pPr>
            <w:r>
              <w:rPr>
                <w:b w:val="0"/>
                <w:sz w:val="18"/>
              </w:rPr>
              <w:t>H5 Grant receipt lowers risk</w:t>
            </w:r>
          </w:p>
        </w:tc>
        <w:tc>
          <w:tcPr>
            <w:tcW w:type="dxa" w:w="2880"/>
          </w:tcPr>
          <w:p>
            <w:pPr>
              <w:spacing w:after="0"/>
            </w:pPr>
            <w:r>
              <w:rPr>
                <w:b w:val="0"/>
                <w:sz w:val="18"/>
              </w:rPr>
              <w:t>The reverse: 37.6% against 20.6%; OR 1.20 (1.16–1.24) per recipient. Grants are means-tested, so they mark poorer households.</w:t>
            </w:r>
          </w:p>
        </w:tc>
        <w:tc>
          <w:tcPr>
            <w:tcW w:type="dxa" w:w="2880"/>
          </w:tcPr>
          <w:p>
            <w:pPr>
              <w:spacing w:after="0"/>
            </w:pPr>
            <w:r>
              <w:rPr>
                <w:b w:val="0"/>
                <w:sz w:val="18"/>
              </w:rPr>
              <w:t>Not supported (reversed); targeting, not causation</w:t>
            </w:r>
          </w:p>
        </w:tc>
      </w:tr>
      <w:tr>
        <w:tc>
          <w:tcPr>
            <w:tcW w:type="dxa" w:w="2880"/>
          </w:tcPr>
          <w:p>
            <w:pPr>
              <w:spacing w:after="0"/>
            </w:pPr>
            <w:r>
              <w:rPr>
                <w:b w:val="0"/>
                <w:sz w:val="18"/>
              </w:rPr>
              <w:t>H6 Toilet type is a useful poverty proxy</w:t>
            </w:r>
          </w:p>
        </w:tc>
        <w:tc>
          <w:tcPr>
            <w:tcW w:type="dxa" w:w="2880"/>
          </w:tcPr>
          <w:p>
            <w:pPr>
              <w:spacing w:after="0"/>
            </w:pPr>
            <w:r>
              <w:rPr>
                <w:b w:val="0"/>
                <w:sz w:val="18"/>
              </w:rPr>
              <w:t>Code 5 (VIP pit latrine, 4,191 households) 40.9% against 27.2% for flush toilets; OR 1.31 (1.13–1.52). Permutation importance near zero.</w:t>
            </w:r>
          </w:p>
        </w:tc>
        <w:tc>
          <w:tcPr>
            <w:tcW w:type="dxa" w:w="2880"/>
          </w:tcPr>
          <w:p>
            <w:pPr>
              <w:spacing w:after="0"/>
            </w:pPr>
            <w:r>
              <w:rPr>
                <w:b w:val="0"/>
                <w:sz w:val="18"/>
              </w:rPr>
              <w:t>Partly: significant, but little predictive value</w:t>
            </w:r>
          </w:p>
        </w:tc>
      </w:tr>
    </w:tbl>
    <w:p>
      <w:pPr>
        <w:spacing w:after="80"/>
      </w:pPr>
    </w:p>
    <w:p>
      <w:r>
        <w:rPr>
          <w:i w:val="0"/>
        </w:rPr>
        <w:t>Performance is uneven, and the gaps matter more than the averages. The screen finds 94.0% of at-risk households earning under R2,500 a month but only 39.2% of those earning over R11,500, and 61.7% of households with no grant recipients against 88.0% of those with them. By province, recall runs from 70.8% in Gauteng and 70.9% in the Western Cape to 89.3% in the Eastern Cape. The model is weakest exactly where food insecurity is least expected, which is a reason to keep self-referral channels open rather than to trust a ‘lower risk’ result.</w:t>
      </w:r>
    </w:p>
    <w:p>
      <w:r>
        <w:br w:type="page"/>
      </w:r>
    </w:p>
    <w:p>
      <w:pPr>
        <w:pStyle w:val="Heading1"/>
      </w:pPr>
      <w:r>
        <w:t>6. Recommendations</w:t>
      </w:r>
    </w:p>
    <w:p>
      <w:r>
        <w:rPr>
          <w:i/>
          <w:sz w:val="18"/>
        </w:rPr>
        <w:t>Rudi Jan du Plessis</w:t>
      </w:r>
    </w:p>
    <w:p>
      <w:r>
        <w:rPr>
          <w:i w:val="0"/>
        </w:rPr>
        <w:t>Each recommendation below starts from a number in Section 4 and names who should act. All of them assume the screening conditions in Section 5: an official reviews every referral, and the tool never decides eligibility on its own.</w:t>
      </w:r>
    </w:p>
    <w:p>
      <w:pPr>
        <w:pStyle w:val="ListBullet"/>
        <w:spacing w:after="80"/>
      </w:pPr>
      <w:r>
        <w:rPr>
          <w:b/>
        </w:rPr>
        <w:t>1. Deploy the screen for outreach triage only, and resource it for the referral rate it actually produces.</w:t>
      </w:r>
      <w:r>
        <w:t xml:space="preserve"> At threshold 0.24 the tool refers 58.9% of households and 58.1% of those referrals turn out to be food secure. Programme managers should size follow-up capacity against that rate before go-live, or raise the threshold knowingly and accept lower recall. The institute's analytics team owns the threshold decision jointly with programme managers; it is a policy choice, not a technical one.</w:t>
      </w:r>
    </w:p>
    <w:p>
      <w:pPr>
        <w:pStyle w:val="ListBullet"/>
        <w:spacing w:after="80"/>
      </w:pPr>
      <w:r>
        <w:rPr>
          <w:b/>
        </w:rPr>
        <w:t>2. Ask every household about income change over the past year at intake.</w:t>
      </w:r>
      <w:r>
        <w:t xml:space="preserve"> It is the single strongest predictor (AUC drop 0.082, roughly 2.5× the next variable), and 58.3% of households reporting a sharp fall are food insecure. Field staff can collect it in one question, and it should trigger follow-up on its own even before the full screen is run.</w:t>
      </w:r>
    </w:p>
    <w:p>
      <w:pPr>
        <w:pStyle w:val="ListBullet"/>
        <w:spacing w:after="80"/>
      </w:pPr>
      <w:r>
        <w:rPr>
          <w:b/>
        </w:rPr>
        <w:t>3. Treat grant-receiving households as a group to check, not a group to deprioritise.</w:t>
      </w:r>
      <w:r>
        <w:t xml:space="preserve"> 37.6% of households with grant recipients are food insecure against 20.6% without. Social development should coordinate food-relief outreach with existing grant registers, which is the cheapest route to the households most at risk — while reading the association as evidence of targeting, not of grants causing harm.</w:t>
      </w:r>
    </w:p>
    <w:p>
      <w:pPr>
        <w:pStyle w:val="ListBullet"/>
        <w:spacing w:after="80"/>
      </w:pPr>
      <w:r>
        <w:rPr>
          <w:b/>
        </w:rPr>
        <w:t>4. Direct food-relief and basic-services budgets to the four provinces with the highest weighted risk first.</w:t>
      </w:r>
      <w:r>
        <w:t xml:space="preserve"> Weighted to the population, 43.0% of Eastern Cape households are at risk, 40.5% in the Northern Cape, 37.1% in North West and 35.5% in Mpumalanga, against 28.3% nationally. Provincial teams can drill into settlement type, income band and grant status within each province on the dashboard.</w:t>
      </w:r>
    </w:p>
    <w:p>
      <w:pPr>
        <w:pStyle w:val="ListBullet"/>
        <w:spacing w:after="80"/>
      </w:pPr>
      <w:r>
        <w:rPr>
          <w:b/>
        </w:rPr>
        <w:t>5. Run a standing audit of ‘lower risk’ households in the groups where the model is weakest.</w:t>
      </w:r>
      <w:r>
        <w:t xml:space="preserve"> Recall falls to 39.2% for households earning over R11,500 and 61.7% for households receiving no grants. A monthly sample of lower-risk households in those groups, reviewed by field officers, is the only way the institute will see the cases the screen misses. Keep self-referral open and never present a low score as clearance.</w:t>
      </w:r>
    </w:p>
    <w:p>
      <w:pPr>
        <w:pStyle w:val="ListBullet"/>
        <w:spacing w:after="80"/>
      </w:pPr>
      <w:r>
        <w:rPr>
          <w:b/>
        </w:rPr>
        <w:t>6. Re-evaluate at every new GHS release, and improve the inputs before the next model.</w:t>
      </w:r>
      <w:r>
        <w:t xml:space="preserve"> Monitoring should raise an alert if recall on followed-up households drops below 70.7% or the referral rate drifts far from 58.9%. The analytics team should add per-person income and employment detail (D01–D03), debt and local food prices, and — most valuable of all — recorded follow-up outcomes, which would let the next model be validated against what officials actually found.</w:t>
      </w:r>
    </w:p>
    <w:p>
      <w:pPr>
        <w:pStyle w:val="Heading1"/>
      </w:pPr>
      <w:r>
        <w:t>8. Limitations and future work</w:t>
      </w:r>
    </w:p>
    <w:p>
      <w:r>
        <w:rPr>
          <w:i/>
          <w:sz w:val="18"/>
        </w:rPr>
        <w:t>Rudi Jan du Plessis</w:t>
      </w:r>
    </w:p>
    <w:p>
      <w:r>
        <w:rPr>
          <w:i w:val="0"/>
        </w:rPr>
        <w:t>Modest discrimination is the central limitation. An AUC of 0.736 means the screen separates risk only moderately: at the chosen threshold 58.1% of referred households are not food insecure, and 19.3% of at-risk households are missed. The eight predictors describe a household's resources, not its access to food, and the strongest of them is a single self-reported question about income change.</w:t>
      </w:r>
    </w:p>
    <w:p>
      <w:r>
        <w:rPr>
          <w:i w:val="0"/>
        </w:rPr>
        <w:t>The evidence is one cross-sectional wave of the General Household Survey 2024, so every result is an association rather than a cause; the reversed grant finding (H5) is the clearest case where targeting and effect cannot be separated. The target itself is a proxy built from self-reported food-insecurity items, which carry recall and social-desirability bias. The three-tier version of the target was abandoned because the middle tier is not separable with these predictors, so the tool cannot grade severity, only flag risk. Training used the unweighted sample; the survey-weighted check moves recall by about 2.4 points. Person-level files (D01–D03) and the separate D11 labour survey were excluded in Milestone 2, and 15 households with no valid food-insecurity answers are unscorable. Small subgroups — farms (197 test households) and the smaller provinces — have wide confidence intervals, so their apparent gaps cannot be judged precisely. Most importantly, the model has never been validated outside this survey: there is no external cohort and no record of what officials found when they followed up.</w:t>
      </w:r>
    </w:p>
    <w:p>
      <w:r>
        <w:rPr>
          <w:i w:val="0"/>
        </w:rPr>
        <w:t>Future work follows from those gaps, in order of value. First, capture follow-up outcomes so the next model can be trained and validated on what was actually found rather than on a survey proxy. Second, add a second GHS wave to allow within-household change and a genuine test of whether grants protect against food insecurity. Third, bring in per-person income, employment, debt and local food prices, which the current eight predictors stand in for only crudely. Fourth, revisit severity grading once a richer target exists, and re-tune the threshold against the institute's measured follow-up capacity instead of an assumed 80% recall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