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Ethics and Responsible AI Usage Log: Milestone 4</w:t>
      </w:r>
    </w:p>
    <w:p>
      <w:r>
        <w:rPr>
          <w:b w:val="0"/>
          <w:i/>
        </w:rPr>
        <w:t>Ethics decisions and use of AI tools across the final synthesis: dashboard, report, presentation and hand-over.</w:t>
      </w:r>
    </w:p>
    <w:p>
      <w:r>
        <w:rPr>
          <w:b w:val="0"/>
          <w:i w:val="0"/>
        </w:rPr>
        <w:t>BIN381 SDHSA project, Group P1. Log lead: Timothy Wubbeling (602543), with Alexander Solomon (601638) and Rudi Jan du Plessis (601342). October 2026.</w:t>
      </w:r>
    </w:p>
    <w:p>
      <w:r>
        <w:rPr>
          <w:b w:val="0"/>
          <w:i/>
          <w:sz w:val="20"/>
        </w:rPr>
        <w:t>Before upload: every ethics and AI row is filled in. Two things are still their authors' own - section 8, Rudi's reflection, and E4-12, which was drafted from the evaluation decisions in section 4 of the report for him to confirm. Each member checks their own acknowledgement.</w:t>
      </w:r>
    </w:p>
    <w:p>
      <w:pPr>
        <w:pStyle w:val="Heading1"/>
      </w:pPr>
      <w:r>
        <w:t>1. Purpose</w:t>
      </w:r>
    </w:p>
    <w:p>
      <w:r>
        <w:rPr>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1"/>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
              <w:rPr>
                <w:b/>
                <w:sz w:val="16"/>
              </w:rPr>
              <w:t>ID</w:t>
            </w:r>
          </w:p>
        </w:tc>
        <w:tc>
          <w:tcPr>
            <w:tcW w:type="dxa" w:w="907"/>
          </w:tcPr>
          <w:p>
            <w:pPr>
              <w:spacing w:after="0"/>
            </w:pPr>
            <w:r/>
            <w:r>
              <w:rPr>
                <w:b/>
                <w:sz w:val="16"/>
              </w:rPr>
              <w:t>Date</w:t>
            </w:r>
          </w:p>
        </w:tc>
        <w:tc>
          <w:tcPr>
            <w:tcW w:type="dxa" w:w="1191"/>
          </w:tcPr>
          <w:p>
            <w:pPr>
              <w:spacing w:after="0"/>
            </w:pPr>
            <w:r/>
            <w:r>
              <w:rPr>
                <w:b/>
                <w:sz w:val="16"/>
              </w:rPr>
              <w:t>Stage</w:t>
            </w:r>
          </w:p>
        </w:tc>
        <w:tc>
          <w:tcPr>
            <w:tcW w:type="dxa" w:w="2494"/>
          </w:tcPr>
          <w:p>
            <w:pPr>
              <w:spacing w:after="0"/>
            </w:pPr>
            <w:r/>
            <w:r>
              <w:rPr>
                <w:b/>
                <w:sz w:val="16"/>
              </w:rPr>
              <w:t>Issue</w:t>
            </w:r>
          </w:p>
        </w:tc>
        <w:tc>
          <w:tcPr>
            <w:tcW w:type="dxa" w:w="2835"/>
          </w:tcPr>
          <w:p>
            <w:pPr>
              <w:spacing w:after="0"/>
            </w:pPr>
            <w:r/>
            <w:r>
              <w:rPr>
                <w:b/>
                <w:sz w:val="16"/>
              </w:rPr>
              <w:t>Decision and mitigation</w:t>
            </w:r>
          </w:p>
        </w:tc>
        <w:tc>
          <w:tcPr>
            <w:tcW w:type="dxa" w:w="737"/>
          </w:tcPr>
          <w:p>
            <w:pPr>
              <w:spacing w:after="0"/>
            </w:pPr>
            <w:r/>
            <w:r>
              <w:rPr>
                <w:b/>
                <w:sz w:val="16"/>
              </w:rPr>
              <w:t>Owner</w:t>
            </w:r>
          </w:p>
        </w:tc>
      </w:tr>
      <w:tr>
        <w:tc>
          <w:tcPr>
            <w:tcW w:type="dxa" w:w="850"/>
          </w:tcPr>
          <w:p>
            <w:pPr>
              <w:spacing w:after="0"/>
            </w:pPr>
            <w:r/>
            <w:r>
              <w:rPr>
                <w:sz w:val="16"/>
              </w:rPr>
              <w:t>E4-01</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dashboard pages showed raw, pre-cleaning figures</w:t>
            </w:r>
          </w:p>
        </w:tc>
        <w:tc>
          <w:tcPr>
            <w:tcW w:type="dxa" w:w="2835"/>
          </w:tcPr>
          <w:p>
            <w:pPr>
              <w:spacing w:after="0"/>
            </w:pPr>
            <w:r/>
            <w:r>
              <w:rPr>
                <w:sz w:val="16"/>
              </w:rPr>
              <w:t>The Milestone 1 geographic and household pages were rebuilt on the integrated modelling dataset rather than merged as they were, so no superseded number is presented as final</w:t>
            </w:r>
          </w:p>
        </w:tc>
        <w:tc>
          <w:tcPr>
            <w:tcW w:type="dxa" w:w="737"/>
          </w:tcPr>
          <w:p>
            <w:pPr>
              <w:spacing w:after="0"/>
            </w:pPr>
            <w:r/>
            <w:r>
              <w:rPr>
                <w:sz w:val="16"/>
              </w:rPr>
              <w:t>C</w:t>
            </w:r>
          </w:p>
        </w:tc>
      </w:tr>
      <w:tr>
        <w:tc>
          <w:tcPr>
            <w:tcW w:type="dxa" w:w="850"/>
          </w:tcPr>
          <w:p>
            <w:pPr>
              <w:spacing w:after="0"/>
            </w:pPr>
            <w:r/>
            <w:r>
              <w:rPr>
                <w:sz w:val="16"/>
              </w:rPr>
              <w:t>E4-02</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map was bound to a United States shape file and could never have drawn South African provinces</w:t>
            </w:r>
          </w:p>
        </w:tc>
        <w:tc>
          <w:tcPr>
            <w:tcW w:type="dxa" w:w="2835"/>
          </w:tcPr>
          <w:p>
            <w:pPr>
              <w:spacing w:after="0"/>
            </w:pPr>
            <w:r/>
            <w:r>
              <w:rPr>
                <w:sz w:val="16"/>
              </w:rPr>
              <w:t>Removed rather than reused; replaced with a sorted province bar chart, and the removal recorded in the dashboard README</w:t>
            </w:r>
          </w:p>
        </w:tc>
        <w:tc>
          <w:tcPr>
            <w:tcW w:type="dxa" w:w="737"/>
          </w:tcPr>
          <w:p>
            <w:pPr>
              <w:spacing w:after="0"/>
            </w:pPr>
            <w:r/>
            <w:r>
              <w:rPr>
                <w:sz w:val="16"/>
              </w:rPr>
              <w:t>C</w:t>
            </w:r>
          </w:p>
        </w:tc>
      </w:tr>
      <w:tr>
        <w:tc>
          <w:tcPr>
            <w:tcW w:type="dxa" w:w="850"/>
          </w:tcPr>
          <w:p>
            <w:pPr>
              <w:spacing w:after="0"/>
            </w:pPr>
            <w:r/>
            <w:r>
              <w:rPr>
                <w:sz w:val="16"/>
              </w:rPr>
              <w:t>E4-03</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Dwelling type and water source were profiled in Milestone 1 but dropped at variable selection</w:t>
            </w:r>
          </w:p>
        </w:tc>
        <w:tc>
          <w:tcPr>
            <w:tcW w:type="dxa" w:w="2835"/>
          </w:tcPr>
          <w:p>
            <w:pPr>
              <w:spacing w:after="0"/>
            </w:pPr>
            <w:r/>
            <w:r>
              <w:rPr>
                <w:sz w:val="16"/>
              </w:rPr>
              <w:t>Left off the dashboard, because showing them beside the model's outputs would imply the screen uses them</w:t>
            </w:r>
          </w:p>
        </w:tc>
        <w:tc>
          <w:tcPr>
            <w:tcW w:type="dxa" w:w="737"/>
          </w:tcPr>
          <w:p>
            <w:pPr>
              <w:spacing w:after="0"/>
            </w:pPr>
            <w:r/>
            <w:r>
              <w:rPr>
                <w:sz w:val="16"/>
              </w:rPr>
              <w:t>C</w:t>
            </w:r>
          </w:p>
        </w:tc>
      </w:tr>
      <w:tr>
        <w:tc>
          <w:tcPr>
            <w:tcW w:type="dxa" w:w="850"/>
          </w:tcPr>
          <w:p>
            <w:pPr>
              <w:spacing w:after="0"/>
            </w:pPr>
            <w:r/>
            <w:r>
              <w:rPr>
                <w:sz w:val="16"/>
              </w:rPr>
              <w:t>E4-04</w:t>
            </w:r>
          </w:p>
        </w:tc>
        <w:tc>
          <w:tcPr>
            <w:tcW w:type="dxa" w:w="907"/>
          </w:tcPr>
          <w:p>
            <w:pPr>
              <w:spacing w:after="0"/>
            </w:pPr>
            <w:r/>
            <w:r>
              <w:rPr>
                <w:sz w:val="16"/>
              </w:rPr>
              <w:t>17 Oct</w:t>
            </w:r>
          </w:p>
        </w:tc>
        <w:tc>
          <w:tcPr>
            <w:tcW w:type="dxa" w:w="1191"/>
          </w:tcPr>
          <w:p>
            <w:pPr>
              <w:spacing w:after="0"/>
            </w:pPr>
            <w:r/>
            <w:r>
              <w:rPr>
                <w:sz w:val="16"/>
              </w:rPr>
              <w:t>Reporting</w:t>
            </w:r>
          </w:p>
        </w:tc>
        <w:tc>
          <w:tcPr>
            <w:tcW w:type="dxa" w:w="2494"/>
          </w:tcPr>
          <w:p>
            <w:pPr>
              <w:spacing w:after="0"/>
            </w:pPr>
            <w:r/>
            <w:r>
              <w:rPr>
                <w:sz w:val="16"/>
              </w:rPr>
              <w:t>Two correct referral rates (58.9% on the test set, 59.2% across all households) could look like a contradiction, and harmonising them would have been easier</w:t>
            </w:r>
          </w:p>
        </w:tc>
        <w:tc>
          <w:tcPr>
            <w:tcW w:type="dxa" w:w="2835"/>
          </w:tcPr>
          <w:p>
            <w:pPr>
              <w:spacing w:after="0"/>
            </w:pPr>
            <w:r/>
            <w:r>
              <w:rPr>
                <w:sz w:val="16"/>
              </w:rPr>
              <w:t>Both kept, each labelled with its population on the dashboard and in the report; a build-time check fails if they are swapped</w:t>
            </w:r>
          </w:p>
        </w:tc>
        <w:tc>
          <w:tcPr>
            <w:tcW w:type="dxa" w:w="737"/>
          </w:tcPr>
          <w:p>
            <w:pPr>
              <w:spacing w:after="0"/>
            </w:pPr>
            <w:r/>
            <w:r>
              <w:rPr>
                <w:sz w:val="16"/>
              </w:rPr>
              <w:t>C</w:t>
            </w:r>
          </w:p>
        </w:tc>
      </w:tr>
      <w:tr>
        <w:tc>
          <w:tcPr>
            <w:tcW w:type="dxa" w:w="850"/>
          </w:tcPr>
          <w:p>
            <w:pPr>
              <w:spacing w:after="0"/>
            </w:pPr>
            <w:r/>
            <w:r>
              <w:rPr>
                <w:sz w:val="16"/>
              </w:rPr>
              <w:t>E4-05</w:t>
            </w:r>
          </w:p>
        </w:tc>
        <w:tc>
          <w:tcPr>
            <w:tcW w:type="dxa" w:w="907"/>
          </w:tcPr>
          <w:p>
            <w:pPr>
              <w:spacing w:after="0"/>
            </w:pPr>
            <w:r/>
            <w:r>
              <w:rPr>
                <w:sz w:val="16"/>
              </w:rPr>
              <w:t>17 Oct</w:t>
            </w:r>
          </w:p>
        </w:tc>
        <w:tc>
          <w:tcPr>
            <w:tcW w:type="dxa" w:w="1191"/>
          </w:tcPr>
          <w:p>
            <w:pPr>
              <w:spacing w:after="0"/>
            </w:pPr>
            <w:r/>
            <w:r>
              <w:rPr>
                <w:sz w:val="16"/>
              </w:rPr>
              <w:t>Privacy</w:t>
            </w:r>
          </w:p>
        </w:tc>
        <w:tc>
          <w:tcPr>
            <w:tcW w:type="dxa" w:w="2494"/>
          </w:tcPr>
          <w:p>
            <w:pPr>
              <w:spacing w:after="0"/>
            </w:pPr>
            <w:r/>
            <w:r>
              <w:rPr>
                <w:sz w:val="16"/>
              </w:rPr>
              <w:t>A dashboard distributed as a file could carry household-level data</w:t>
            </w:r>
          </w:p>
        </w:tc>
        <w:tc>
          <w:tcPr>
            <w:tcW w:type="dxa" w:w="2835"/>
          </w:tcPr>
          <w:p>
            <w:pPr>
              <w:spacing w:after="0"/>
            </w:pPr>
            <w:r/>
            <w:r>
              <w:rPr>
                <w:sz w:val="16"/>
              </w:rPr>
              <w:t>The export carries a row number in place of HouseholdID; no page shows an identifier, and the dashboard ships aggregates only</w:t>
            </w:r>
          </w:p>
        </w:tc>
        <w:tc>
          <w:tcPr>
            <w:tcW w:type="dxa" w:w="737"/>
          </w:tcPr>
          <w:p>
            <w:pPr>
              <w:spacing w:after="0"/>
            </w:pPr>
            <w:r/>
            <w:r>
              <w:rPr>
                <w:sz w:val="16"/>
              </w:rPr>
              <w:t>C</w:t>
            </w:r>
          </w:p>
        </w:tc>
      </w:tr>
      <w:tr>
        <w:tc>
          <w:tcPr>
            <w:tcW w:type="dxa" w:w="850"/>
          </w:tcPr>
          <w:p>
            <w:pPr>
              <w:spacing w:after="0"/>
            </w:pPr>
            <w:r/>
            <w:r>
              <w:rPr>
                <w:sz w:val="16"/>
              </w:rPr>
              <w:t>E4-06</w:t>
            </w:r>
          </w:p>
        </w:tc>
        <w:tc>
          <w:tcPr>
            <w:tcW w:type="dxa" w:w="907"/>
          </w:tcPr>
          <w:p>
            <w:pPr>
              <w:spacing w:after="0"/>
            </w:pPr>
            <w:r/>
            <w:r>
              <w:rPr>
                <w:sz w:val="16"/>
              </w:rPr>
              <w:t>17 Oct</w:t>
            </w:r>
          </w:p>
        </w:tc>
        <w:tc>
          <w:tcPr>
            <w:tcW w:type="dxa" w:w="1191"/>
          </w:tcPr>
          <w:p>
            <w:pPr>
              <w:spacing w:after="0"/>
            </w:pPr>
            <w:r/>
            <w:r>
              <w:rPr>
                <w:sz w:val="16"/>
              </w:rPr>
              <w:t>Fairness</w:t>
            </w:r>
          </w:p>
        </w:tc>
        <w:tc>
          <w:tcPr>
            <w:tcW w:type="dxa" w:w="2494"/>
          </w:tcPr>
          <w:p>
            <w:pPr>
              <w:spacing w:after="0"/>
            </w:pPr>
            <w:r/>
            <w:r>
              <w:rPr>
                <w:sz w:val="16"/>
              </w:rPr>
              <w:t>The subgroup recall gaps were only in the report, where an operational user would not see them</w:t>
            </w:r>
          </w:p>
        </w:tc>
        <w:tc>
          <w:tcPr>
            <w:tcW w:type="dxa" w:w="2835"/>
          </w:tcPr>
          <w:p>
            <w:pPr>
              <w:spacing w:after="0"/>
            </w:pPr>
            <w:r/>
            <w:r>
              <w:rPr>
                <w:sz w:val="16"/>
              </w:rPr>
              <w:t>Given a dashboard page of their own, with 95% intervals so small groups cannot be over-read; group-specific thresholds again declined</w:t>
            </w:r>
          </w:p>
        </w:tc>
        <w:tc>
          <w:tcPr>
            <w:tcW w:type="dxa" w:w="737"/>
          </w:tcPr>
          <w:p>
            <w:pPr>
              <w:spacing w:after="0"/>
            </w:pPr>
            <w:r/>
            <w:r>
              <w:rPr>
                <w:sz w:val="16"/>
              </w:rPr>
              <w:t>C</w:t>
            </w:r>
          </w:p>
        </w:tc>
      </w:tr>
      <w:tr>
        <w:tc>
          <w:tcPr>
            <w:tcW w:type="dxa" w:w="850"/>
          </w:tcPr>
          <w:p>
            <w:pPr>
              <w:spacing w:after="0"/>
            </w:pPr>
            <w:r/>
            <w:r>
              <w:rPr>
                <w:sz w:val="16"/>
              </w:rPr>
              <w:t>E4-07</w:t>
            </w:r>
          </w:p>
        </w:tc>
        <w:tc>
          <w:tcPr>
            <w:tcW w:type="dxa" w:w="907"/>
          </w:tcPr>
          <w:p>
            <w:pPr>
              <w:spacing w:after="0"/>
            </w:pPr>
            <w:r/>
            <w:r>
              <w:rPr>
                <w:sz w:val="16"/>
              </w:rPr>
              <w:t>17 Oct</w:t>
            </w:r>
          </w:p>
        </w:tc>
        <w:tc>
          <w:tcPr>
            <w:tcW w:type="dxa" w:w="1191"/>
          </w:tcPr>
          <w:p>
            <w:pPr>
              <w:spacing w:after="0"/>
            </w:pPr>
            <w:r/>
            <w:r>
              <w:rPr>
                <w:sz w:val="16"/>
              </w:rPr>
              <w:t>Deployment</w:t>
            </w:r>
          </w:p>
        </w:tc>
        <w:tc>
          <w:tcPr>
            <w:tcW w:type="dxa" w:w="2494"/>
          </w:tcPr>
          <w:p>
            <w:pPr>
              <w:spacing w:after="0"/>
            </w:pPr>
            <w:r/>
            <w:r>
              <w:rPr>
                <w:sz w:val="16"/>
              </w:rPr>
              <w:t>A dashboard page viewed on its own loses the context that this is a screening aid</w:t>
            </w:r>
          </w:p>
        </w:tc>
        <w:tc>
          <w:tcPr>
            <w:tcW w:type="dxa" w:w="2835"/>
          </w:tcPr>
          <w:p>
            <w:pPr>
              <w:spacing w:after="0"/>
            </w:pPr>
            <w:r/>
            <w:r>
              <w:rPr>
                <w:sz w:val="16"/>
              </w:rPr>
              <w:t>The screening-aid statement is in the footer of all seven pages, not only the landing page</w:t>
            </w:r>
          </w:p>
        </w:tc>
        <w:tc>
          <w:tcPr>
            <w:tcW w:type="dxa" w:w="737"/>
          </w:tcPr>
          <w:p>
            <w:pPr>
              <w:spacing w:after="0"/>
            </w:pPr>
            <w:r/>
            <w:r>
              <w:rPr>
                <w:sz w:val="16"/>
              </w:rPr>
              <w:t>C</w:t>
            </w:r>
          </w:p>
        </w:tc>
      </w:tr>
      <w:tr>
        <w:tc>
          <w:tcPr>
            <w:tcW w:type="dxa" w:w="850"/>
          </w:tcPr>
          <w:p>
            <w:pPr>
              <w:spacing w:after="0"/>
            </w:pPr>
            <w:r/>
            <w:r>
              <w:rPr>
                <w:sz w:val="16"/>
              </w:rPr>
              <w:t>E4-08</w:t>
            </w:r>
          </w:p>
        </w:tc>
        <w:tc>
          <w:tcPr>
            <w:tcW w:type="dxa" w:w="907"/>
          </w:tcPr>
          <w:p>
            <w:pPr>
              <w:spacing w:after="0"/>
            </w:pPr>
            <w:r/>
            <w:r>
              <w:rPr>
                <w:sz w:val="16"/>
              </w:rPr>
              <w:t>17 Oct</w:t>
            </w:r>
          </w:p>
        </w:tc>
        <w:tc>
          <w:tcPr>
            <w:tcW w:type="dxa" w:w="1191"/>
          </w:tcPr>
          <w:p>
            <w:pPr>
              <w:spacing w:after="0"/>
            </w:pPr>
            <w:r/>
            <w:r>
              <w:rPr>
                <w:sz w:val="16"/>
              </w:rPr>
              <w:t>Responsible AI</w:t>
            </w:r>
          </w:p>
        </w:tc>
        <w:tc>
          <w:tcPr>
            <w:tcW w:type="dxa" w:w="2494"/>
          </w:tcPr>
          <w:p>
            <w:pPr>
              <w:spacing w:after="0"/>
            </w:pPr>
            <w:r/>
            <w:r>
              <w:rPr>
                <w:sz w:val="16"/>
              </w:rPr>
              <w:t>The dashboard layout and the semantic model were generated by script with AI assistance, which is not obvious from the file</w:t>
            </w:r>
          </w:p>
        </w:tc>
        <w:tc>
          <w:tcPr>
            <w:tcW w:type="dxa" w:w="2835"/>
          </w:tcPr>
          <w:p>
            <w:pPr>
              <w:spacing w:after="0"/>
            </w:pPr>
            <w:r/>
            <w:r>
              <w:rPr>
                <w:sz w:val="16"/>
              </w:rPr>
              <w:t>Disclosed in AI-M4-C1 of this log, with every generator script committed to powerbi/M4_Merged_Dashboard/scripts/ so the output can be inspected and rebuilt</w:t>
            </w:r>
          </w:p>
        </w:tc>
        <w:tc>
          <w:tcPr>
            <w:tcW w:type="dxa" w:w="737"/>
          </w:tcPr>
          <w:p>
            <w:pPr>
              <w:spacing w:after="0"/>
            </w:pPr>
            <w:r/>
            <w:r>
              <w:rPr>
                <w:sz w:val="16"/>
              </w:rPr>
              <w:t>C</w:t>
            </w:r>
          </w:p>
        </w:tc>
      </w:tr>
      <w:tr>
        <w:tc>
          <w:tcPr>
            <w:tcW w:type="dxa" w:w="850"/>
          </w:tcPr>
          <w:p>
            <w:pPr>
              <w:spacing w:after="0"/>
            </w:pPr>
            <w:r/>
            <w:r>
              <w:rPr>
                <w:sz w:val="16"/>
              </w:rPr>
              <w:t>E4-09</w:t>
            </w:r>
          </w:p>
        </w:tc>
        <w:tc>
          <w:tcPr>
            <w:tcW w:type="dxa" w:w="907"/>
          </w:tcPr>
          <w:p>
            <w:pPr>
              <w:spacing w:after="0"/>
            </w:pPr>
            <w:r/>
            <w:r>
              <w:rPr>
                <w:sz w:val="16"/>
              </w:rPr>
              <w:t>18 Oct</w:t>
            </w:r>
          </w:p>
        </w:tc>
        <w:tc>
          <w:tcPr>
            <w:tcW w:type="dxa" w:w="1191"/>
          </w:tcPr>
          <w:p>
            <w:pPr>
              <w:spacing w:after="0"/>
            </w:pPr>
            <w:r/>
            <w:r>
              <w:rPr>
                <w:sz w:val="16"/>
              </w:rPr>
              <w:t>Presentation</w:t>
            </w:r>
          </w:p>
        </w:tc>
        <w:tc>
          <w:tcPr>
            <w:tcW w:type="dxa" w:w="2494"/>
          </w:tcPr>
          <w:p>
            <w:pPr>
              <w:spacing w:after="0"/>
            </w:pPr>
            <w:r/>
            <w:r>
              <w:rPr>
                <w:sz w:val="16"/>
              </w:rPr>
              <w:t>The Milestone 1 data-inventory and data-quality figures had become static prose on the merged dashboard, so a reader could not check them</w:t>
            </w:r>
          </w:p>
        </w:tc>
        <w:tc>
          <w:tcPr>
            <w:tcW w:type="dxa" w:w="2835"/>
          </w:tcPr>
          <w:p>
            <w:pPr>
              <w:spacing w:after="0"/>
            </w:pPr>
            <w:r/>
            <w:r>
              <w:rPr>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
              <w:rPr>
                <w:sz w:val="16"/>
              </w:rPr>
              <w:t>C</w:t>
            </w:r>
          </w:p>
        </w:tc>
      </w:tr>
      <w:tr>
        <w:tc>
          <w:tcPr>
            <w:tcW w:type="dxa" w:w="850"/>
          </w:tcPr>
          <w:p>
            <w:pPr>
              <w:spacing w:after="0"/>
            </w:pPr>
            <w:r/>
            <w:r>
              <w:rPr>
                <w:sz w:val="16"/>
              </w:rPr>
              <w:t>E4-10</w:t>
            </w:r>
          </w:p>
        </w:tc>
        <w:tc>
          <w:tcPr>
            <w:tcW w:type="dxa" w:w="907"/>
          </w:tcPr>
          <w:p>
            <w:pPr>
              <w:spacing w:after="0"/>
            </w:pPr>
            <w:r/>
            <w:r>
              <w:rPr>
                <w:sz w:val="16"/>
              </w:rPr>
              <w:t>19 Oct</w:t>
            </w:r>
          </w:p>
        </w:tc>
        <w:tc>
          <w:tcPr>
            <w:tcW w:type="dxa" w:w="1191"/>
          </w:tcPr>
          <w:p>
            <w:pPr>
              <w:spacing w:after="0"/>
            </w:pPr>
            <w:r/>
            <w:r>
              <w:rPr>
                <w:sz w:val="16"/>
              </w:rPr>
              <w:t>Reproducibility</w:t>
            </w:r>
          </w:p>
        </w:tc>
        <w:tc>
          <w:tcPr>
            <w:tcW w:type="dxa" w:w="2494"/>
          </w:tcPr>
          <w:p>
            <w:pPr>
              <w:spacing w:after="0"/>
            </w:pPr>
            <w:r/>
            <w:r>
              <w:rPr>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
              <w:rPr>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
              <w:rPr>
                <w:sz w:val="16"/>
              </w:rPr>
              <w:t>C</w:t>
            </w:r>
          </w:p>
        </w:tc>
      </w:tr>
      <w:tr>
        <w:tc>
          <w:tcPr>
            <w:tcW w:type="dxa" w:w="850"/>
          </w:tcPr>
          <w:p>
            <w:pPr>
              <w:spacing w:after="0"/>
            </w:pPr>
            <w:r/>
            <w:r>
              <w:rPr>
                <w:sz w:val="16"/>
              </w:rPr>
              <w:t>E4-11</w:t>
            </w:r>
          </w:p>
        </w:tc>
        <w:tc>
          <w:tcPr>
            <w:tcW w:type="dxa" w:w="907"/>
          </w:tcPr>
          <w:p>
            <w:pPr>
              <w:spacing w:after="0"/>
            </w:pPr>
            <w:r/>
            <w:r>
              <w:rPr>
                <w:sz w:val="16"/>
              </w:rPr>
              <w:t>19 Oct</w:t>
            </w:r>
          </w:p>
        </w:tc>
        <w:tc>
          <w:tcPr>
            <w:tcW w:type="dxa" w:w="1191"/>
          </w:tcPr>
          <w:p>
            <w:pPr>
              <w:spacing w:after="0"/>
            </w:pPr>
            <w:r/>
            <w:r>
              <w:rPr>
                <w:sz w:val="16"/>
              </w:rPr>
              <w:t>Modelling / data</w:t>
            </w:r>
          </w:p>
        </w:tc>
        <w:tc>
          <w:tcPr>
            <w:tcW w:type="dxa" w:w="2494"/>
          </w:tcPr>
          <w:p>
            <w:pPr>
              <w:spacing w:after="0"/>
            </w:pPr>
            <w:r/>
            <w:r>
              <w:rPr>
                <w:sz w:val="16"/>
              </w:rPr>
              <w:t>"Don't know" and "refused" answers to the eight food-insecurity questions could have been counted as "no", which would label unsure households as food secure. The model could also have learned from the same questions it was meant to predict.</w:t>
            </w:r>
          </w:p>
        </w:tc>
        <w:tc>
          <w:tcPr>
            <w:tcW w:type="dxa" w:w="2835"/>
          </w:tcPr>
          <w:p>
            <w:pPr>
              <w:spacing w:after="0"/>
            </w:pPr>
            <w:r/>
            <w:r>
              <w:rPr>
                <w:sz w:val="16"/>
              </w:rPr>
              <w:t>Those answers were recoded to missing. The 15 households with no valid answer were set aside before the split. Sixteen columns that define or closely proxy the target were kept out of the predictors, with a check that stops the notebook if one appears.</w:t>
            </w:r>
          </w:p>
        </w:tc>
        <w:tc>
          <w:tcPr>
            <w:tcW w:type="dxa" w:w="737"/>
          </w:tcPr>
          <w:p>
            <w:pPr>
              <w:spacing w:after="0"/>
            </w:pPr>
            <w:r/>
            <w:r>
              <w:rPr>
                <w:sz w:val="16"/>
              </w:rPr>
              <w:t>A</w:t>
            </w:r>
          </w:p>
        </w:tc>
      </w:tr>
      <w:tr>
        <w:tc>
          <w:tcPr>
            <w:tcW w:type="dxa" w:w="850"/>
          </w:tcPr>
          <w:p>
            <w:pPr>
              <w:spacing w:after="0"/>
            </w:pPr>
            <w:r/>
            <w:r>
              <w:rPr>
                <w:sz w:val="16"/>
              </w:rPr>
              <w:t>E4-12</w:t>
            </w:r>
          </w:p>
        </w:tc>
        <w:tc>
          <w:tcPr>
            <w:tcW w:type="dxa" w:w="907"/>
          </w:tcPr>
          <w:p>
            <w:pPr>
              <w:spacing w:after="0"/>
            </w:pPr>
            <w:r/>
            <w:r>
              <w:rPr>
                <w:sz w:val="16"/>
              </w:rPr>
              <w:t>19 Oct</w:t>
            </w:r>
          </w:p>
        </w:tc>
        <w:tc>
          <w:tcPr>
            <w:tcW w:type="dxa" w:w="1191"/>
          </w:tcPr>
          <w:p>
            <w:pPr>
              <w:spacing w:after="0"/>
            </w:pPr>
            <w:r/>
            <w:r>
              <w:rPr>
                <w:sz w:val="16"/>
              </w:rPr>
              <w:t>Evaluation</w:t>
            </w:r>
          </w:p>
        </w:tc>
        <w:tc>
          <w:tcPr>
            <w:tcW w:type="dxa" w:w="2494"/>
          </w:tcPr>
          <w:p>
            <w:pPr>
              <w:spacing w:after="0"/>
            </w:pPr>
            <w:r/>
            <w:r>
              <w:rPr>
                <w:sz w:val="16"/>
              </w:rPr>
              <w:t>One headline recall would have hidden that the screen performs far worse for some groups than others, and the obvious patch - a lower threshold for higher-income households - would mean treating households differently by income on the basis of a proxy.</w:t>
            </w:r>
          </w:p>
        </w:tc>
        <w:tc>
          <w:tcPr>
            <w:tcW w:type="dxa" w:w="2835"/>
          </w:tcPr>
          <w:p>
            <w:pPr>
              <w:spacing w:after="0"/>
            </w:pPr>
            <w:r/>
            <w:r>
              <w:rPr>
                <w:sz w:val="16"/>
              </w:rPr>
              <w:t>Equal opportunity was chosen as the fairness criterion and recall is measured per subgroup. The gaps are published in section 4 and on the dashboard rather than patched: 39.2% recall above R11,500 and 61.7% with no grant recipients. Recommendation 5 asks for a monthly audit of lower-risk households in exactly those groups instead.</w:t>
            </w:r>
          </w:p>
        </w:tc>
        <w:tc>
          <w:tcPr>
            <w:tcW w:type="dxa" w:w="737"/>
          </w:tcPr>
          <w:p>
            <w:pPr>
              <w:spacing w:after="0"/>
            </w:pPr>
            <w:r/>
            <w:r>
              <w:rPr>
                <w:sz w:val="16"/>
              </w:rPr>
              <w:t>B</w:t>
            </w:r>
          </w:p>
        </w:tc>
      </w:tr>
    </w:tbl>
    <w:p>
      <w:pPr>
        <w:spacing w:after="80"/>
      </w:pPr>
    </w:p>
    <w:p>
      <w:pPr>
        <w:spacing w:after="160"/>
      </w:pPr>
      <w:r>
        <w:rPr>
          <w:i/>
          <w:sz w:val="18"/>
        </w:rPr>
        <w:t>Table 1. Ethics decisions in Milestone 4 (A = Alexander Solomon, B = Rudi Jan du Plessis, C = Timothy Wubbeling).</w:t>
      </w:r>
    </w:p>
    <w:p>
      <w:pPr>
        <w:pStyle w:val="Heading1"/>
      </w:pPr>
      <w:r>
        <w:t>3. Use of AI tools</w:t>
      </w:r>
    </w:p>
    <w:p>
      <w:r>
        <w:rPr>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
              <w:rPr>
                <w:b/>
                <w:sz w:val="16"/>
              </w:rPr>
              <w:t>#</w:t>
            </w:r>
          </w:p>
        </w:tc>
        <w:tc>
          <w:tcPr>
            <w:tcW w:type="dxa" w:w="1361"/>
          </w:tcPr>
          <w:p>
            <w:pPr>
              <w:spacing w:after="0"/>
            </w:pPr>
            <w:r/>
            <w:r>
              <w:rPr>
                <w:b/>
                <w:sz w:val="16"/>
              </w:rPr>
              <w:t>Date, person, tool</w:t>
            </w:r>
          </w:p>
        </w:tc>
        <w:tc>
          <w:tcPr>
            <w:tcW w:type="dxa" w:w="2438"/>
          </w:tcPr>
          <w:p>
            <w:pPr>
              <w:spacing w:after="0"/>
            </w:pPr>
            <w:r/>
            <w:r>
              <w:rPr>
                <w:b/>
                <w:sz w:val="16"/>
              </w:rPr>
              <w:t>Task and what the AI produced</w:t>
            </w:r>
          </w:p>
        </w:tc>
        <w:tc>
          <w:tcPr>
            <w:tcW w:type="dxa" w:w="2154"/>
          </w:tcPr>
          <w:p>
            <w:pPr>
              <w:spacing w:after="0"/>
            </w:pPr>
            <w:r/>
            <w:r>
              <w:rPr>
                <w:b/>
                <w:sz w:val="16"/>
              </w:rPr>
              <w:t>How it was checked</w:t>
            </w:r>
          </w:p>
        </w:tc>
        <w:tc>
          <w:tcPr>
            <w:tcW w:type="dxa" w:w="2098"/>
          </w:tcPr>
          <w:p>
            <w:pPr>
              <w:spacing w:after="0"/>
            </w:pPr>
            <w:r/>
            <w:r>
              <w:rPr>
                <w:b/>
                <w:sz w:val="16"/>
              </w:rPr>
              <w:t>Decisions and changes by the team</w:t>
            </w:r>
          </w:p>
        </w:tc>
      </w:tr>
      <w:tr>
        <w:tc>
          <w:tcPr>
            <w:tcW w:type="dxa" w:w="964"/>
          </w:tcPr>
          <w:p>
            <w:pPr>
              <w:spacing w:after="0"/>
            </w:pPr>
            <w:r/>
            <w:r>
              <w:rPr>
                <w:sz w:val="16"/>
              </w:rPr>
              <w:t>AI-M4-C1</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
              <w:rPr>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
              <w:rPr>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
              <w:rPr>
                <w:sz w:val="16"/>
              </w:rPr>
              <w:t>AI-M4-C2</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
              <w:rPr>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
              <w:rPr>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
              <w:rPr>
                <w:sz w:val="16"/>
              </w:rPr>
              <w:t>AI-M4-C3</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
              <w:rPr>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
              <w:rPr>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
              <w:rPr>
                <w:sz w:val="16"/>
              </w:rPr>
              <w:t>AI-M4-C4</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Slides 8 to 10 and the demo running order, including the messy-upload demonstration and the prepared answers.</w:t>
            </w:r>
          </w:p>
        </w:tc>
        <w:tc>
          <w:tcPr>
            <w:tcW w:type="dxa" w:w="2154"/>
          </w:tcPr>
          <w:p>
            <w:pPr>
              <w:spacing w:after="0"/>
            </w:pPr>
            <w:r/>
            <w:r>
              <w:rPr>
                <w:sz w:val="16"/>
              </w:rPr>
              <w:t>Every number on the slides was checked against the report and data/evaluation/. The demo sequence was walked through against the running app.</w:t>
            </w:r>
          </w:p>
        </w:tc>
        <w:tc>
          <w:tcPr>
            <w:tcW w:type="dxa" w:w="2098"/>
          </w:tcPr>
          <w:p>
            <w:pPr>
              <w:spacing w:after="0"/>
            </w:pPr>
            <w:r/>
            <w:r>
              <w:rPr>
                <w:sz w:val="16"/>
              </w:rPr>
              <w:t>Draft only. I rewrote the speaker notes in my own words before rehearsal, since I am the one presenting them.</w:t>
            </w:r>
          </w:p>
        </w:tc>
      </w:tr>
      <w:tr>
        <w:tc>
          <w:tcPr>
            <w:tcW w:type="dxa" w:w="964"/>
          </w:tcPr>
          <w:p>
            <w:pPr>
              <w:spacing w:after="0"/>
            </w:pPr>
            <w:r/>
            <w:r>
              <w:rPr>
                <w:sz w:val="16"/>
              </w:rPr>
              <w:t>AI-M4-C5</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Hand-over and maintenance notes, the dashboard README, and the first draft of this log including the Milestone 4 ethics decisions in section 2.</w:t>
            </w:r>
          </w:p>
        </w:tc>
        <w:tc>
          <w:tcPr>
            <w:tcW w:type="dxa" w:w="2154"/>
          </w:tcPr>
          <w:p>
            <w:pPr>
              <w:spacing w:after="0"/>
            </w:pPr>
            <w:r/>
            <w:r>
              <w:rPr>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
              <w:rPr>
                <w:sz w:val="16"/>
              </w:rPr>
              <w:t>Reviewed and accepted. The entries describing my own reasoning are mine; Claude wrote them down.</w:t>
            </w:r>
          </w:p>
        </w:tc>
      </w:tr>
      <w:tr>
        <w:tc>
          <w:tcPr>
            <w:tcW w:type="dxa" w:w="964"/>
          </w:tcPr>
          <w:p>
            <w:pPr>
              <w:spacing w:after="0"/>
            </w:pPr>
            <w:r/>
            <w:r>
              <w:rPr>
                <w:sz w:val="16"/>
              </w:rPr>
              <w:t>AI-M4-C6</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Reflection. Claude produced a first draft of my personal reflection from this session's work and the project history.</w:t>
            </w:r>
          </w:p>
        </w:tc>
        <w:tc>
          <w:tcPr>
            <w:tcW w:type="dxa" w:w="2154"/>
          </w:tcPr>
          <w:p>
            <w:pPr>
              <w:spacing w:after="0"/>
            </w:pPr>
            <w:r/>
            <w:r>
              <w:rPr>
                <w:sz w:val="16"/>
              </w:rPr>
              <w:t>Not applicable - a personal reflection cannot be verified against data.</w:t>
            </w:r>
          </w:p>
        </w:tc>
        <w:tc>
          <w:tcPr>
            <w:tcW w:type="dxa" w:w="2098"/>
          </w:tcPr>
          <w:p>
            <w:pPr>
              <w:spacing w:after="0"/>
            </w:pPr>
            <w:r/>
            <w:r>
              <w:rPr>
                <w:sz w:val="16"/>
              </w:rPr>
              <w:t>Rewritten by me in my own words. A reflection that I did not write would not be my reflection, and this entry records that a draft existed.</w:t>
            </w:r>
          </w:p>
        </w:tc>
      </w:tr>
      <w:tr>
        <w:tc>
          <w:tcPr>
            <w:tcW w:type="dxa" w:w="964"/>
          </w:tcPr>
          <w:p>
            <w:pPr>
              <w:spacing w:after="0"/>
            </w:pPr>
            <w:r/>
            <w:r>
              <w:rPr>
                <w:sz w:val="16"/>
              </w:rPr>
              <w:t>AI-M4-C7</w:t>
            </w:r>
          </w:p>
        </w:tc>
        <w:tc>
          <w:tcPr>
            <w:tcW w:type="dxa" w:w="1361"/>
          </w:tcPr>
          <w:p>
            <w:pPr>
              <w:spacing w:after="0"/>
            </w:pPr>
            <w:r/>
            <w:r>
              <w:rPr>
                <w:sz w:val="16"/>
              </w:rPr>
              <w:t>18 Oct 2026</w:t>
            </w:r>
          </w:p>
          <w:p>
            <w:pPr>
              <w:spacing w:after="0"/>
            </w:pPr>
            <w:r>
              <w:rPr>
                <w:sz w:val="16"/>
              </w:rPr>
              <w:t>Timothy (C)</w:t>
            </w:r>
          </w:p>
          <w:p>
            <w:pPr>
              <w:spacing w:after="0"/>
            </w:pPr>
            <w:r>
              <w:rPr>
                <w:sz w:val="16"/>
              </w:rPr>
              <w:t>Claude (Anthropic)</w:t>
            </w:r>
          </w:p>
        </w:tc>
        <w:tc>
          <w:tcPr>
            <w:tcW w:type="dxa" w:w="2438"/>
          </w:tcPr>
          <w:p>
            <w:pPr>
              <w:spacing w:after="0"/>
            </w:pPr>
            <w:r/>
            <w:r>
              <w:rPr>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
              <w:rPr>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
              <w:rPr>
                <w:sz w:val="16"/>
              </w:rPr>
              <w:t>Accepted. Claude also found that its own build script deleted the project's README and scripts folder on every rebuild, and fixed it. The dashboard is now nine pages.</w:t>
            </w:r>
          </w:p>
        </w:tc>
      </w:tr>
      <w:tr>
        <w:tc>
          <w:tcPr>
            <w:tcW w:type="dxa" w:w="964"/>
          </w:tcPr>
          <w:p>
            <w:pPr>
              <w:spacing w:after="0"/>
            </w:pPr>
            <w:r/>
            <w:r>
              <w:rPr>
                <w:sz w:val="16"/>
              </w:rPr>
              <w:t>AI-M4-C8</w:t>
            </w:r>
          </w:p>
        </w:tc>
        <w:tc>
          <w:tcPr>
            <w:tcW w:type="dxa" w:w="1361"/>
          </w:tcPr>
          <w:p>
            <w:pPr>
              <w:spacing w:after="0"/>
            </w:pPr>
            <w:r/>
            <w:r>
              <w:rPr>
                <w:sz w:val="16"/>
              </w:rPr>
              <w:t>19 Oct 2026</w:t>
            </w:r>
          </w:p>
          <w:p>
            <w:pPr>
              <w:spacing w:after="0"/>
            </w:pPr>
            <w:r>
              <w:rPr>
                <w:sz w:val="16"/>
              </w:rPr>
              <w:t>Timothy (C)</w:t>
            </w:r>
          </w:p>
          <w:p>
            <w:pPr>
              <w:spacing w:after="0"/>
            </w:pPr>
            <w:r>
              <w:rPr>
                <w:sz w:val="16"/>
              </w:rPr>
              <w:t>Claude (Anthropic)</w:t>
            </w:r>
          </w:p>
        </w:tc>
        <w:tc>
          <w:tcPr>
            <w:tcW w:type="dxa" w:w="2438"/>
          </w:tcPr>
          <w:p>
            <w:pPr>
              <w:spacing w:after="0"/>
            </w:pPr>
            <w:r/>
            <w:r>
              <w:rPr>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
              <w:rPr>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
              <w:rPr>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
              <w:rPr>
                <w:sz w:val="16"/>
              </w:rPr>
              <w:t>AI-M4-C9</w:t>
            </w:r>
          </w:p>
        </w:tc>
        <w:tc>
          <w:tcPr>
            <w:tcW w:type="dxa" w:w="1361"/>
          </w:tcPr>
          <w:p>
            <w:pPr>
              <w:spacing w:after="0"/>
            </w:pPr>
            <w:r/>
            <w:r>
              <w:rPr>
                <w:sz w:val="16"/>
              </w:rPr>
              <w:t>19 Oct 2026</w:t>
            </w:r>
          </w:p>
          <w:p>
            <w:pPr>
              <w:spacing w:after="0"/>
            </w:pPr>
            <w:r>
              <w:rPr>
                <w:sz w:val="16"/>
              </w:rPr>
              <w:t>Timothy (C)</w:t>
            </w:r>
          </w:p>
          <w:p>
            <w:pPr>
              <w:spacing w:after="0"/>
            </w:pPr>
            <w:r>
              <w:rPr>
                <w:sz w:val="16"/>
              </w:rPr>
              <w:t>Claude (Anthropic)</w:t>
            </w:r>
          </w:p>
        </w:tc>
        <w:tc>
          <w:tcPr>
            <w:tcW w:type="dxa" w:w="2438"/>
          </w:tcPr>
          <w:p>
            <w:pPr>
              <w:spacing w:after="0"/>
            </w:pPr>
            <w:r/>
            <w:r>
              <w:rPr>
                <w:sz w:val="16"/>
              </w:rPr>
              <w:t>A prompt for Rudi's reflection. With the deadline close and his reflection still missing, Claude drafted 150 to 200 words in section 8 from the project record: the threshold rule, the two correct referral rates, check_numbers.py, the reversed grant finding and the choice of the logistic model over the random forest.</w:t>
            </w:r>
          </w:p>
        </w:tc>
        <w:tc>
          <w:tcPr>
            <w:tcW w:type="dxa" w:w="2154"/>
          </w:tcPr>
          <w:p>
            <w:pPr>
              <w:spacing w:after="0"/>
            </w:pPr>
            <w:r/>
            <w:r>
              <w:rPr>
                <w:sz w:val="16"/>
              </w:rPr>
              <w:t>Every fact in the draft was checked against the report and data/evaluation/. It describes decisions, not feelings, because only Rudi can write those.</w:t>
            </w:r>
          </w:p>
        </w:tc>
        <w:tc>
          <w:tcPr>
            <w:tcW w:type="dxa" w:w="2098"/>
          </w:tcPr>
          <w:p>
            <w:pPr>
              <w:spacing w:after="0"/>
            </w:pPr>
            <w:r/>
            <w:r>
              <w:rPr>
                <w:sz w:val="16"/>
              </w:rPr>
              <w:t>A draft, labelled as one in the document. Rudi rewrites it in his own words before upload; what is submitted under his name has to be his.</w:t>
            </w:r>
          </w:p>
        </w:tc>
      </w:tr>
      <w:tr>
        <w:tc>
          <w:tcPr>
            <w:tcW w:type="dxa" w:w="964"/>
          </w:tcPr>
          <w:p>
            <w:pPr>
              <w:spacing w:after="0"/>
            </w:pPr>
            <w:r/>
            <w:r>
              <w:rPr>
                <w:sz w:val="16"/>
              </w:rPr>
              <w:t>AI-M4-A1</w:t>
            </w:r>
          </w:p>
        </w:tc>
        <w:tc>
          <w:tcPr>
            <w:tcW w:type="dxa" w:w="1361"/>
          </w:tcPr>
          <w:p>
            <w:pPr>
              <w:spacing w:after="0"/>
            </w:pPr>
            <w:r/>
            <w:r>
              <w:rPr>
                <w:sz w:val="16"/>
              </w:rPr>
              <w:t>14 Oct 2026</w:t>
            </w:r>
          </w:p>
          <w:p>
            <w:pPr>
              <w:spacing w:after="0"/>
            </w:pPr>
            <w:r>
              <w:rPr>
                <w:sz w:val="16"/>
              </w:rPr>
              <w:t>Alexander (A)</w:t>
            </w:r>
          </w:p>
          <w:p>
            <w:pPr>
              <w:spacing w:after="0"/>
            </w:pPr>
            <w:r>
              <w:rPr>
                <w:sz w:val="16"/>
              </w:rPr>
              <w:t>Claude (Anthropic)</w:t>
            </w:r>
          </w:p>
        </w:tc>
        <w:tc>
          <w:tcPr>
            <w:tcW w:type="dxa" w:w="2438"/>
          </w:tcPr>
          <w:p>
            <w:pPr>
              <w:spacing w:after="0"/>
            </w:pPr>
            <w:r/>
            <w:r>
              <w:rPr>
                <w:sz w:val="16"/>
              </w:rPr>
              <w:t>Milestone 4 team guideline. Claude read the Milestone 4 brief and the repository and produced a Word guideline: deliverables, a proposed A/B/C split, a plan for each task, the marks map, a timeline and likely defence questions.</w:t>
            </w:r>
          </w:p>
        </w:tc>
        <w:tc>
          <w:tcPr>
            <w:tcW w:type="dxa" w:w="2154"/>
          </w:tcPr>
          <w:p>
            <w:pPr>
              <w:spacing w:after="0"/>
            </w:pPr>
            <w:r/>
            <w:r>
              <w:rPr>
                <w:sz w:val="16"/>
              </w:rPr>
              <w:t>Deliverables and rubric compared line by line with the brief. Statements about what was already in the repository were checked against the cloned repository.</w:t>
            </w:r>
          </w:p>
        </w:tc>
        <w:tc>
          <w:tcPr>
            <w:tcW w:type="dxa" w:w="2098"/>
          </w:tcPr>
          <w:p>
            <w:pPr>
              <w:spacing w:after="0"/>
            </w:pPr>
            <w:r/>
            <w:r>
              <w:rPr>
                <w:sz w:val="16"/>
              </w:rPr>
              <w:t>Used as a planning aid. The split was a proposal, and the group agreed on its own.</w:t>
            </w:r>
          </w:p>
        </w:tc>
      </w:tr>
      <w:tr>
        <w:tc>
          <w:tcPr>
            <w:tcW w:type="dxa" w:w="964"/>
          </w:tcPr>
          <w:p>
            <w:pPr>
              <w:spacing w:after="0"/>
            </w:pPr>
            <w:r/>
            <w:r>
              <w:rPr>
                <w:sz w:val="16"/>
              </w:rPr>
              <w:t>AI-M4-A2</w:t>
            </w:r>
          </w:p>
        </w:tc>
        <w:tc>
          <w:tcPr>
            <w:tcW w:type="dxa" w:w="1361"/>
          </w:tcPr>
          <w:p>
            <w:pPr>
              <w:spacing w:after="0"/>
            </w:pPr>
            <w:r/>
            <w:r>
              <w:rPr>
                <w:sz w:val="16"/>
              </w:rPr>
              <w:t>14 Oct 2026</w:t>
            </w:r>
          </w:p>
          <w:p>
            <w:pPr>
              <w:spacing w:after="0"/>
            </w:pPr>
            <w:r>
              <w:rPr>
                <w:sz w:val="16"/>
              </w:rPr>
              <w:t>Alexander (A)</w:t>
            </w:r>
          </w:p>
          <w:p>
            <w:pPr>
              <w:spacing w:after="0"/>
            </w:pPr>
            <w:r>
              <w:rPr>
                <w:sz w:val="16"/>
              </w:rPr>
              <w:t>Claude (Anthropic)</w:t>
            </w:r>
          </w:p>
        </w:tc>
        <w:tc>
          <w:tcPr>
            <w:tcW w:type="dxa" w:w="2438"/>
          </w:tcPr>
          <w:p>
            <w:pPr>
              <w:spacing w:after="0"/>
            </w:pPr>
            <w:r/>
            <w:r>
              <w:rPr>
                <w:sz w:val="16"/>
              </w:rPr>
              <w:t>Reviewed sections 1 to 3 and gave advice on talking points for slides 1 to 4.</w:t>
            </w:r>
          </w:p>
        </w:tc>
        <w:tc>
          <w:tcPr>
            <w:tcW w:type="dxa" w:w="2154"/>
          </w:tcPr>
          <w:p>
            <w:pPr>
              <w:spacing w:after="0"/>
            </w:pPr>
            <w:r/>
            <w:r>
              <w:rPr>
                <w:sz w:val="16"/>
              </w:rPr>
              <w:t>Looked through the previous milestones as well as the rubric and gave talking points.</w:t>
            </w:r>
          </w:p>
        </w:tc>
        <w:tc>
          <w:tcPr>
            <w:tcW w:type="dxa" w:w="2098"/>
          </w:tcPr>
          <w:p>
            <w:pPr>
              <w:spacing w:after="0"/>
            </w:pPr>
            <w:r/>
            <w:r>
              <w:rPr>
                <w:sz w:val="16"/>
              </w:rPr>
              <w:t>I looked through the review and made changes to it as well as created the slides by myself. I am responsible for every sentence.</w:t>
            </w:r>
          </w:p>
        </w:tc>
      </w:tr>
      <w:tr>
        <w:tc>
          <w:tcPr>
            <w:tcW w:type="dxa" w:w="964"/>
          </w:tcPr>
          <w:p>
            <w:pPr>
              <w:spacing w:after="0"/>
            </w:pPr>
            <w:r/>
            <w:r>
              <w:rPr>
                <w:sz w:val="16"/>
              </w:rPr>
              <w:t>AI-M4-A3</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Four figures: a CRISP-DM diagram, a data-flow diagram from the cleaned files to the train/test split, a chart of the three food-insecurity tiers, and a chart of cross-validated ROC-AUC for the four models. Claude wrote the plotting script.</w:t>
            </w:r>
          </w:p>
        </w:tc>
        <w:tc>
          <w:tcPr>
            <w:tcW w:type="dxa" w:w="2154"/>
          </w:tcPr>
          <w:p>
            <w:pPr>
              <w:spacing w:after="0"/>
            </w:pPr>
            <w:r/>
            <w:r>
              <w:rPr>
                <w:sz w:val="16"/>
              </w:rPr>
              <w:t>Every value in the figures was compared with Table 1.5 of the Milestone 3 report and the model parameter table. Each image was viewed for errors and overlaps.</w:t>
            </w:r>
          </w:p>
        </w:tc>
        <w:tc>
          <w:tcPr>
            <w:tcW w:type="dxa" w:w="2098"/>
          </w:tcPr>
          <w:p>
            <w:pPr>
              <w:spacing w:after="0"/>
            </w:pPr>
            <w:r/>
            <w:r>
              <w:rPr>
                <w:sz w:val="16"/>
              </w:rPr>
              <w:t>Figures 1 and 2 are in the report. The tier chart was left out for space.</w:t>
            </w:r>
          </w:p>
        </w:tc>
      </w:tr>
      <w:tr>
        <w:tc>
          <w:tcPr>
            <w:tcW w:type="dxa" w:w="964"/>
          </w:tcPr>
          <w:p>
            <w:pPr>
              <w:spacing w:after="0"/>
            </w:pPr>
            <w:r/>
            <w:r>
              <w:rPr>
                <w:sz w:val="16"/>
              </w:rPr>
              <w:t>AI-M4-A4</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Document tidy-up. Claude added the student numbers to the cover, the table and figure captions, converted the reference list to Harvard style, fixed two typos and widened a table column in my Word file.</w:t>
            </w:r>
          </w:p>
        </w:tc>
        <w:tc>
          <w:tcPr>
            <w:tcW w:type="dxa" w:w="2154"/>
          </w:tcPr>
          <w:p>
            <w:pPr>
              <w:spacing w:after="0"/>
            </w:pPr>
            <w:r/>
            <w:r>
              <w:rPr>
                <w:sz w:val="16"/>
              </w:rPr>
              <w:t>Cover details checked against our student numbers. Harvard references checked against the original sources' details.</w:t>
            </w:r>
          </w:p>
        </w:tc>
        <w:tc>
          <w:tcPr>
            <w:tcW w:type="dxa" w:w="2098"/>
          </w:tcPr>
          <w:p>
            <w:pPr>
              <w:spacing w:after="0"/>
            </w:pPr>
            <w:r/>
            <w:r>
              <w:rPr>
                <w:sz w:val="16"/>
              </w:rPr>
              <w:t>Accepted. I will check the compiled report for consistent referencing with Timothy.</w:t>
            </w:r>
          </w:p>
        </w:tc>
      </w:tr>
      <w:tr>
        <w:tc>
          <w:tcPr>
            <w:tcW w:type="dxa" w:w="964"/>
          </w:tcPr>
          <w:p>
            <w:pPr>
              <w:spacing w:after="0"/>
            </w:pPr>
            <w:r/>
            <w:r>
              <w:rPr>
                <w:sz w:val="16"/>
              </w:rPr>
              <w:t>AI-M4-A5</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Helped with reviewing my personal reflection and gave improvements.</w:t>
            </w:r>
          </w:p>
        </w:tc>
        <w:tc>
          <w:tcPr>
            <w:tcW w:type="dxa" w:w="2154"/>
          </w:tcPr>
          <w:p>
            <w:pPr>
              <w:spacing w:after="0"/>
            </w:pPr>
            <w:r/>
            <w:r>
              <w:rPr>
                <w:sz w:val="16"/>
              </w:rPr>
              <w:t>Not applicable: a reflection cannot be checked against data.</w:t>
            </w:r>
          </w:p>
        </w:tc>
        <w:tc>
          <w:tcPr>
            <w:tcW w:type="dxa" w:w="2098"/>
          </w:tcPr>
          <w:p>
            <w:pPr>
              <w:spacing w:after="0"/>
            </w:pPr>
            <w:r/>
            <w:r>
              <w:rPr>
                <w:sz w:val="16"/>
              </w:rPr>
              <w:t>A reflection that I did not write would not be my reflection, and this entry records that Claude did help with improvement.</w:t>
            </w:r>
          </w:p>
        </w:tc>
      </w:tr>
      <w:tr>
        <w:tc>
          <w:tcPr>
            <w:tcW w:type="dxa" w:w="964"/>
          </w:tcPr>
          <w:p>
            <w:pPr>
              <w:spacing w:after="0"/>
            </w:pPr>
            <w:r/>
            <w:r>
              <w:rPr>
                <w:sz w:val="16"/>
              </w:rPr>
              <w:t>AI-M4-B1 to B9</w:t>
            </w:r>
          </w:p>
        </w:tc>
        <w:tc>
          <w:tcPr>
            <w:tcW w:type="dxa" w:w="1361"/>
          </w:tcPr>
          <w:p>
            <w:pPr>
              <w:spacing w:after="0"/>
            </w:pPr>
            <w:r/>
            <w:r>
              <w:rPr>
                <w:sz w:val="16"/>
              </w:rPr>
              <w:t>17 Oct 2026</w:t>
            </w:r>
          </w:p>
          <w:p>
            <w:pPr>
              <w:spacing w:after="0"/>
            </w:pPr>
            <w:r>
              <w:rPr>
                <w:sz w:val="16"/>
              </w:rPr>
              <w:t>Rudi (B)</w:t>
            </w:r>
          </w:p>
          <w:p>
            <w:pPr>
              <w:spacing w:after="0"/>
            </w:pPr>
            <w:r>
              <w:rPr>
                <w:sz w:val="16"/>
              </w:rPr>
              <w:t>Claude (Anthropic)</w:t>
            </w:r>
          </w:p>
        </w:tc>
        <w:tc>
          <w:tcPr>
            <w:tcW w:type="dxa" w:w="2438"/>
          </w:tcPr>
          <w:p>
            <w:pPr>
              <w:spacing w:after="0"/>
            </w:pPr>
            <w:r/>
            <w:r>
              <w:rPr>
                <w:sz w:val="16"/>
              </w:rPr>
              <w:t>Dashboard pages, report sections 4, 6 and 8, slides 5 to 7, and the check that every evaluation figure quoted in a deliverable reconciles with data/evaluation/. Each use is recorded separately in Appendix A of the report.</w:t>
            </w:r>
          </w:p>
        </w:tc>
        <w:tc>
          <w:tcPr>
            <w:tcW w:type="dxa" w:w="2154"/>
          </w:tcPr>
          <w:p>
            <w:pPr>
              <w:spacing w:after="0"/>
            </w:pPr>
            <w:r/>
            <w:r>
              <w:rPr>
                <w:sz w:val="16"/>
              </w:rPr>
              <w:t>See Appendix A: every entry names what was checked and against which file.</w:t>
            </w:r>
          </w:p>
        </w:tc>
        <w:tc>
          <w:tcPr>
            <w:tcW w:type="dxa" w:w="2098"/>
          </w:tcPr>
          <w:p>
            <w:pPr>
              <w:spacing w:after="0"/>
            </w:pPr>
            <w:r/>
            <w:r>
              <w:rPr>
                <w:sz w:val="16"/>
              </w:rPr>
              <w:t>Listed here so this log covers the whole group; Appendix A carries the detail and is Rudi's to sign off.</w:t>
            </w:r>
          </w:p>
        </w:tc>
      </w:tr>
    </w:tbl>
    <w:p>
      <w:pPr>
        <w:spacing w:after="80"/>
      </w:pPr>
    </w:p>
    <w:p>
      <w:pPr>
        <w:spacing w:after="160"/>
      </w:pPr>
      <w:r>
        <w:rPr>
          <w:i/>
          <w:sz w:val="18"/>
        </w:rPr>
        <w:t>Table 2. Use of AI tools in Milestone 4.</w:t>
      </w:r>
    </w:p>
    <w:p>
      <w:pPr>
        <w:pStyle w:val="Heading1"/>
      </w:pPr>
      <w:r>
        <w:t>4. Acknowledgement statement for the report</w:t>
      </w:r>
    </w:p>
    <w:p>
      <w:r>
        <w:rPr>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1"/>
      </w:pPr>
      <w:r>
        <w:t>5. Responsible use</w:t>
      </w:r>
    </w:p>
    <w:p>
      <w:r>
        <w:rPr>
          <w:b w:val="0"/>
          <w:i w:val="0"/>
        </w:rPr>
        <w:t>Three rules governed the use of AI tools, and they are the reason this log can be specific.</w:t>
      </w:r>
    </w:p>
    <w:p>
      <w:pPr>
        <w:pStyle w:val="ListNumber"/>
      </w:pPr>
      <w: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Number"/>
      </w:pPr>
      <w: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Number"/>
      </w:pPr>
      <w:r>
        <w:t>Personal and evaluative writing stays personal. The reflection was redrafted by its author (AI-M4-C6), and the ethics decisions in section 2 record judgements the team made, written down with assistance rather than decided by it.</w:t>
      </w:r>
    </w:p>
    <w:p>
      <w:pPr>
        <w:pStyle w:val="Heading1"/>
      </w:pPr>
      <w:r>
        <w:t>6. Reflection - Timothy Wubbeling (Person C)</w:t>
      </w:r>
    </w:p>
    <w:p>
      <w:r>
        <w:rPr>
          <w:b w:val="0"/>
          <w:i/>
          <w:sz w:val="20"/>
        </w:rPr>
        <w:t>Draft for Timothy to rewrite - see AI-M4-C6. A reflection in someone else's words is not a reflection; use this only as a prompt for your own, and keep it to 150-200 words.</w:t>
      </w:r>
    </w:p>
    <w:p>
      <w:r>
        <w:rPr>
          <w:b w:val="0"/>
          <w:i w:val="0"/>
        </w:rP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r>
        <w:rPr>
          <w:b w:val="0"/>
          <w:i w:val="0"/>
        </w:rP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r>
        <w:rPr>
          <w:b w:val="0"/>
          <w:i w:val="0"/>
        </w:rPr>
        <w:t>What changed is where I think accuracy comes from. In Milestone 2 I trusted a clean notebook; now I trust a figure only when two independent paths produce it, which is why the dashboard subtracts the R output from itself in front of the user.</w:t>
      </w:r>
    </w:p>
    <w:p>
      <w:r>
        <w:rPr>
          <w:b w:val="0"/>
          <w:i w:val="0"/>
        </w:rPr>
        <w:t>What I would improve: I left reconciliation until the dashboard existed. Writing the check first would have caught drift while it was still cheap.</w:t>
      </w:r>
    </w:p>
    <w:p>
      <w:pPr>
        <w:pStyle w:val="Heading1"/>
      </w:pPr>
      <w:r>
        <w:t>7. Reflection - Alexander Solomon (Person A)</w:t>
      </w:r>
    </w:p>
    <w:p>
      <w:r>
        <w:rPr>
          <w:b w:val="0"/>
          <w:i w:val="0"/>
        </w:rPr>
        <w:t>What worked best for this project is that we split it into 3, so each person did a specific section of each milestone. Because I built the modelling and then wrote about it, I could explain every choice. Writing down in Milestone 2 that we would fall back to a binary target if the middle tier couldn't be separated also paid off. When the three-tier models failed to find that tier, we switched without scrambling.</w:t>
      </w:r>
    </w:p>
    <w:p>
      <w:r>
        <w:rPr>
          <w:b w:val="0"/>
          <w:i w:val="0"/>
        </w:rPr>
        <w:t>The biggest surprise was how much went wrong in such small, practical places. My leakage checks failed because I assumed the integrated file was already trimmed, when it still had 128 columns. Later, I ran renv::init() in the wrong project folder and had to redo it. Across the milestones, the target and the final model changed more than I expected, and the project grew from an analysis into a tool with monitoring.</w:t>
      </w:r>
    </w:p>
    <w:p>
      <w:r>
        <w:rPr>
          <w:b w:val="0"/>
          <w:i w:val="0"/>
        </w:rPr>
        <w:t>I learned how tidymodels recipes keep preprocessing inside each cross-validation fold, and how to work with Git and GitHub as a team. Next time, I would agree on the model's output format with whoever builds the app much earlier, because the three-tier vs binary mismatch cost us time, and I would set up renv on the first day.</w:t>
      </w:r>
    </w:p>
    <w:p>
      <w:pPr>
        <w:pStyle w:val="Heading1"/>
      </w:pPr>
      <w:r>
        <w:t>8. Reflection - Rudi Jan du Plessis (Person B)</w:t>
      </w:r>
    </w:p>
    <w:p>
      <w:r>
        <w:rPr>
          <w:b w:val="0"/>
          <w:i/>
          <w:sz w:val="20"/>
        </w:rPr>
        <w:t>Draft for Rudi to rewrite - see AI-M4-C9. Written from what the project record shows he decided, not from anything he said. A reflection in someone else's words is not a reflection; use it only as a prompt, and keep it to 150-200 words.</w:t>
      </w:r>
    </w:p>
    <w:p>
      <w:r>
        <w:rPr>
          <w:b w:val="0"/>
          <w:i w:val="0"/>
        </w:rPr>
        <w:t>What worked was being handed a model I had not fitted and having to judge it on its own terms. Writing the threshold rule down before I looked at the test set - at least 80% of at-risk households, at the fewest referrals - meant 0.24 was a decision I could defend rather than one I found afterwards, and it survived every challenge in review.</w:t>
      </w:r>
    </w:p>
    <w:p>
      <w:r>
        <w:rPr>
          <w:b w:val="0"/>
          <w:i w:val="0"/>
        </w:rPr>
        <w:t>The surprise was how often two correct numbers can contradict each other. 58.9% of test households referred and 59.2% across all of them are both right, and I nearly let them sit in one paragraph as if they were the same figure. That is why I wrote check_numbers.py, which recomputes the headline metrics and fails if an easily confused pair gets swapped. The second surprise was the grant result reversing: households receiving grants are more food insecure, not less, and the honest thing was to publish it as targeting rather than quietly drop it.</w:t>
      </w:r>
    </w:p>
    <w:p>
      <w:r>
        <w:rPr>
          <w:b w:val="0"/>
          <w:i w:val="0"/>
        </w:rPr>
        <w:t>What changed is that I stopped trusting a number because a notebook produced it. I turned down the random forest and its extra 0.009 of AUC, because the tool has to explain every referral to an official. Next time I would build the reconciliation check in the first week, not the last.</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86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