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Ethics and Responsible AI Usage Log: Milestone 4</w:t>
      </w:r>
    </w:p>
    <w:p>
      <w:r>
        <w:rPr>
          <w:b w:val="0"/>
          <w:i/>
        </w:rPr>
        <w:t>Ethics decisions and use of AI tools across the final synthesis: dashboard, report, presentation and hand-over.</w:t>
      </w:r>
    </w:p>
    <w:p>
      <w:r>
        <w:rPr>
          <w:b w:val="0"/>
          <w:i w:val="0"/>
        </w:rPr>
        <w:t>BIN381 SDHSA project, Group P1. Log lead: Timothy Wubbeling (602543), with Alexander Solomon (601638) and Rudi Jan du Plessis (601342). October 2026.</w:t>
      </w:r>
    </w:p>
    <w:p>
      <w:r>
        <w:rPr>
          <w:b w:val="0"/>
          <w:i/>
          <w:sz w:val="20"/>
        </w:rPr>
        <w:t>Before upload: rows marked TO CONFIRM belong to Alexander and Rudi. Rudi's Milestone 4 AI entries are drafted in BIN381_M4_PersonB_Reflection_and_AI_Log.md, which is referenced in report/M4/README.md but is not yet in the repository; its entries run to AI-M4-7, so Timothy's are numbered AI-M4-C1 onward to avoid a clash. Renumber into one sequence only once all three sets are in, and each member must check their own acknowledgement.</w:t>
      </w:r>
    </w:p>
    <w:p>
      <w:pPr>
        <w:pStyle w:val="Heading1"/>
      </w:pPr>
      <w:r>
        <w:t>1. Purpose</w:t>
      </w:r>
    </w:p>
    <w:p>
      <w:r>
        <w:rPr>
          <w:b w:val="0"/>
          <w:i w:val="0"/>
        </w:rPr>
        <w:t>The brief asks for ethics to be handled throughout the lifecycle rather than once at the end, and for all use of AI to be acknowledged. This log continues the Milestone 3 log in the same format. Section 2 records the ethics decisions taken during Milestone 4, section 3 every use of AI tools, section 4 the acknowledgement statement for the report, and section 5 how the tools were used responsibly. The Milestone 1 to 3 decisions (E3-01 to E3-13, AI-1 to AI-6) remain valid and are not repeated here; this log is read alongside BIN381_M3_Ethics_and_AI_Usage_Log.docx.</w:t>
      </w:r>
    </w:p>
    <w:p>
      <w:pPr>
        <w:pStyle w:val="Heading1"/>
      </w:pPr>
      <w:r>
        <w:t>2. Ethics decisions (Milestone 4)</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850"/>
          </w:tcPr>
          <w:p>
            <w:pPr>
              <w:spacing w:after="0"/>
            </w:pPr>
            <w:r/>
            <w:r>
              <w:rPr>
                <w:b/>
                <w:sz w:val="16"/>
              </w:rPr>
              <w:t>ID</w:t>
            </w:r>
          </w:p>
        </w:tc>
        <w:tc>
          <w:tcPr>
            <w:tcW w:type="dxa" w:w="907"/>
          </w:tcPr>
          <w:p>
            <w:pPr>
              <w:spacing w:after="0"/>
            </w:pPr>
            <w:r/>
            <w:r>
              <w:rPr>
                <w:b/>
                <w:sz w:val="16"/>
              </w:rPr>
              <w:t>Date</w:t>
            </w:r>
          </w:p>
        </w:tc>
        <w:tc>
          <w:tcPr>
            <w:tcW w:type="dxa" w:w="1191"/>
          </w:tcPr>
          <w:p>
            <w:pPr>
              <w:spacing w:after="0"/>
            </w:pPr>
            <w:r/>
            <w:r>
              <w:rPr>
                <w:b/>
                <w:sz w:val="16"/>
              </w:rPr>
              <w:t>Stage</w:t>
            </w:r>
          </w:p>
        </w:tc>
        <w:tc>
          <w:tcPr>
            <w:tcW w:type="dxa" w:w="2494"/>
          </w:tcPr>
          <w:p>
            <w:pPr>
              <w:spacing w:after="0"/>
            </w:pPr>
            <w:r/>
            <w:r>
              <w:rPr>
                <w:b/>
                <w:sz w:val="16"/>
              </w:rPr>
              <w:t>Issue</w:t>
            </w:r>
          </w:p>
        </w:tc>
        <w:tc>
          <w:tcPr>
            <w:tcW w:type="dxa" w:w="2835"/>
          </w:tcPr>
          <w:p>
            <w:pPr>
              <w:spacing w:after="0"/>
            </w:pPr>
            <w:r/>
            <w:r>
              <w:rPr>
                <w:b/>
                <w:sz w:val="16"/>
              </w:rPr>
              <w:t>Decision and mitigation</w:t>
            </w:r>
          </w:p>
        </w:tc>
        <w:tc>
          <w:tcPr>
            <w:tcW w:type="dxa" w:w="737"/>
          </w:tcPr>
          <w:p>
            <w:pPr>
              <w:spacing w:after="0"/>
            </w:pPr>
            <w:r/>
            <w:r>
              <w:rPr>
                <w:b/>
                <w:sz w:val="16"/>
              </w:rPr>
              <w:t>Owner</w:t>
            </w:r>
          </w:p>
        </w:tc>
      </w:tr>
      <w:tr>
        <w:tc>
          <w:tcPr>
            <w:tcW w:type="dxa" w:w="850"/>
          </w:tcPr>
          <w:p>
            <w:pPr>
              <w:spacing w:after="0"/>
            </w:pPr>
            <w:r/>
            <w:r>
              <w:rPr>
                <w:sz w:val="16"/>
              </w:rPr>
              <w:t>E4-01</w:t>
            </w:r>
          </w:p>
        </w:tc>
        <w:tc>
          <w:tcPr>
            <w:tcW w:type="dxa" w:w="907"/>
          </w:tcPr>
          <w:p>
            <w:pPr>
              <w:spacing w:after="0"/>
            </w:pPr>
            <w:r/>
            <w:r>
              <w:rPr>
                <w:sz w:val="16"/>
              </w:rPr>
              <w:t>17 Oct</w:t>
            </w:r>
          </w:p>
        </w:tc>
        <w:tc>
          <w:tcPr>
            <w:tcW w:type="dxa" w:w="1191"/>
          </w:tcPr>
          <w:p>
            <w:pPr>
              <w:spacing w:after="0"/>
            </w:pPr>
            <w:r/>
            <w:r>
              <w:rPr>
                <w:sz w:val="16"/>
              </w:rPr>
              <w:t>Presentation</w:t>
            </w:r>
          </w:p>
        </w:tc>
        <w:tc>
          <w:tcPr>
            <w:tcW w:type="dxa" w:w="2494"/>
          </w:tcPr>
          <w:p>
            <w:pPr>
              <w:spacing w:after="0"/>
            </w:pPr>
            <w:r/>
            <w:r>
              <w:rPr>
                <w:sz w:val="16"/>
              </w:rPr>
              <w:t>The Milestone 1 dashboard pages showed raw, pre-cleaning figures</w:t>
            </w:r>
          </w:p>
        </w:tc>
        <w:tc>
          <w:tcPr>
            <w:tcW w:type="dxa" w:w="2835"/>
          </w:tcPr>
          <w:p>
            <w:pPr>
              <w:spacing w:after="0"/>
            </w:pPr>
            <w:r/>
            <w:r>
              <w:rPr>
                <w:sz w:val="16"/>
              </w:rPr>
              <w:t>The Milestone 1 geographic and household pages were rebuilt on the integrated modelling dataset rather than merged as they were, so no superseded number is presented as final</w:t>
            </w:r>
          </w:p>
        </w:tc>
        <w:tc>
          <w:tcPr>
            <w:tcW w:type="dxa" w:w="737"/>
          </w:tcPr>
          <w:p>
            <w:pPr>
              <w:spacing w:after="0"/>
            </w:pPr>
            <w:r/>
            <w:r>
              <w:rPr>
                <w:sz w:val="16"/>
              </w:rPr>
              <w:t>C</w:t>
            </w:r>
          </w:p>
        </w:tc>
      </w:tr>
      <w:tr>
        <w:tc>
          <w:tcPr>
            <w:tcW w:type="dxa" w:w="850"/>
          </w:tcPr>
          <w:p>
            <w:pPr>
              <w:spacing w:after="0"/>
            </w:pPr>
            <w:r/>
            <w:r>
              <w:rPr>
                <w:sz w:val="16"/>
              </w:rPr>
              <w:t>E4-02</w:t>
            </w:r>
          </w:p>
        </w:tc>
        <w:tc>
          <w:tcPr>
            <w:tcW w:type="dxa" w:w="907"/>
          </w:tcPr>
          <w:p>
            <w:pPr>
              <w:spacing w:after="0"/>
            </w:pPr>
            <w:r/>
            <w:r>
              <w:rPr>
                <w:sz w:val="16"/>
              </w:rPr>
              <w:t>17 Oct</w:t>
            </w:r>
          </w:p>
        </w:tc>
        <w:tc>
          <w:tcPr>
            <w:tcW w:type="dxa" w:w="1191"/>
          </w:tcPr>
          <w:p>
            <w:pPr>
              <w:spacing w:after="0"/>
            </w:pPr>
            <w:r/>
            <w:r>
              <w:rPr>
                <w:sz w:val="16"/>
              </w:rPr>
              <w:t>Presentation</w:t>
            </w:r>
          </w:p>
        </w:tc>
        <w:tc>
          <w:tcPr>
            <w:tcW w:type="dxa" w:w="2494"/>
          </w:tcPr>
          <w:p>
            <w:pPr>
              <w:spacing w:after="0"/>
            </w:pPr>
            <w:r/>
            <w:r>
              <w:rPr>
                <w:sz w:val="16"/>
              </w:rPr>
              <w:t>The Milestone 1 map was bound to a United States shape file and could never have drawn South African provinces</w:t>
            </w:r>
          </w:p>
        </w:tc>
        <w:tc>
          <w:tcPr>
            <w:tcW w:type="dxa" w:w="2835"/>
          </w:tcPr>
          <w:p>
            <w:pPr>
              <w:spacing w:after="0"/>
            </w:pPr>
            <w:r/>
            <w:r>
              <w:rPr>
                <w:sz w:val="16"/>
              </w:rPr>
              <w:t>Removed rather than reused; replaced with a sorted province bar chart, and the removal recorded in the dashboard README</w:t>
            </w:r>
          </w:p>
        </w:tc>
        <w:tc>
          <w:tcPr>
            <w:tcW w:type="dxa" w:w="737"/>
          </w:tcPr>
          <w:p>
            <w:pPr>
              <w:spacing w:after="0"/>
            </w:pPr>
            <w:r/>
            <w:r>
              <w:rPr>
                <w:sz w:val="16"/>
              </w:rPr>
              <w:t>C</w:t>
            </w:r>
          </w:p>
        </w:tc>
      </w:tr>
      <w:tr>
        <w:tc>
          <w:tcPr>
            <w:tcW w:type="dxa" w:w="850"/>
          </w:tcPr>
          <w:p>
            <w:pPr>
              <w:spacing w:after="0"/>
            </w:pPr>
            <w:r/>
            <w:r>
              <w:rPr>
                <w:sz w:val="16"/>
              </w:rPr>
              <w:t>E4-03</w:t>
            </w:r>
          </w:p>
        </w:tc>
        <w:tc>
          <w:tcPr>
            <w:tcW w:type="dxa" w:w="907"/>
          </w:tcPr>
          <w:p>
            <w:pPr>
              <w:spacing w:after="0"/>
            </w:pPr>
            <w:r/>
            <w:r>
              <w:rPr>
                <w:sz w:val="16"/>
              </w:rPr>
              <w:t>17 Oct</w:t>
            </w:r>
          </w:p>
        </w:tc>
        <w:tc>
          <w:tcPr>
            <w:tcW w:type="dxa" w:w="1191"/>
          </w:tcPr>
          <w:p>
            <w:pPr>
              <w:spacing w:after="0"/>
            </w:pPr>
            <w:r/>
            <w:r>
              <w:rPr>
                <w:sz w:val="16"/>
              </w:rPr>
              <w:t>Presentation</w:t>
            </w:r>
          </w:p>
        </w:tc>
        <w:tc>
          <w:tcPr>
            <w:tcW w:type="dxa" w:w="2494"/>
          </w:tcPr>
          <w:p>
            <w:pPr>
              <w:spacing w:after="0"/>
            </w:pPr>
            <w:r/>
            <w:r>
              <w:rPr>
                <w:sz w:val="16"/>
              </w:rPr>
              <w:t>Dwelling type and water source were profiled in Milestone 1 but dropped at variable selection</w:t>
            </w:r>
          </w:p>
        </w:tc>
        <w:tc>
          <w:tcPr>
            <w:tcW w:type="dxa" w:w="2835"/>
          </w:tcPr>
          <w:p>
            <w:pPr>
              <w:spacing w:after="0"/>
            </w:pPr>
            <w:r/>
            <w:r>
              <w:rPr>
                <w:sz w:val="16"/>
              </w:rPr>
              <w:t>Left off the dashboard, because showing them beside the model's outputs would imply the screen uses them</w:t>
            </w:r>
          </w:p>
        </w:tc>
        <w:tc>
          <w:tcPr>
            <w:tcW w:type="dxa" w:w="737"/>
          </w:tcPr>
          <w:p>
            <w:pPr>
              <w:spacing w:after="0"/>
            </w:pPr>
            <w:r/>
            <w:r>
              <w:rPr>
                <w:sz w:val="16"/>
              </w:rPr>
              <w:t>C</w:t>
            </w:r>
          </w:p>
        </w:tc>
      </w:tr>
      <w:tr>
        <w:tc>
          <w:tcPr>
            <w:tcW w:type="dxa" w:w="850"/>
          </w:tcPr>
          <w:p>
            <w:pPr>
              <w:spacing w:after="0"/>
            </w:pPr>
            <w:r/>
            <w:r>
              <w:rPr>
                <w:sz w:val="16"/>
              </w:rPr>
              <w:t>E4-04</w:t>
            </w:r>
          </w:p>
        </w:tc>
        <w:tc>
          <w:tcPr>
            <w:tcW w:type="dxa" w:w="907"/>
          </w:tcPr>
          <w:p>
            <w:pPr>
              <w:spacing w:after="0"/>
            </w:pPr>
            <w:r/>
            <w:r>
              <w:rPr>
                <w:sz w:val="16"/>
              </w:rPr>
              <w:t>17 Oct</w:t>
            </w:r>
          </w:p>
        </w:tc>
        <w:tc>
          <w:tcPr>
            <w:tcW w:type="dxa" w:w="1191"/>
          </w:tcPr>
          <w:p>
            <w:pPr>
              <w:spacing w:after="0"/>
            </w:pPr>
            <w:r/>
            <w:r>
              <w:rPr>
                <w:sz w:val="16"/>
              </w:rPr>
              <w:t>Reporting</w:t>
            </w:r>
          </w:p>
        </w:tc>
        <w:tc>
          <w:tcPr>
            <w:tcW w:type="dxa" w:w="2494"/>
          </w:tcPr>
          <w:p>
            <w:pPr>
              <w:spacing w:after="0"/>
            </w:pPr>
            <w:r/>
            <w:r>
              <w:rPr>
                <w:sz w:val="16"/>
              </w:rPr>
              <w:t>Two correct referral rates (58.9% on the test set, 59.2% across all households) could look like a contradiction, and harmonising them would have been easier</w:t>
            </w:r>
          </w:p>
        </w:tc>
        <w:tc>
          <w:tcPr>
            <w:tcW w:type="dxa" w:w="2835"/>
          </w:tcPr>
          <w:p>
            <w:pPr>
              <w:spacing w:after="0"/>
            </w:pPr>
            <w:r/>
            <w:r>
              <w:rPr>
                <w:sz w:val="16"/>
              </w:rPr>
              <w:t>Both kept, each labelled with its population on the dashboard and in the report; a build-time check fails if they are swapped</w:t>
            </w:r>
          </w:p>
        </w:tc>
        <w:tc>
          <w:tcPr>
            <w:tcW w:type="dxa" w:w="737"/>
          </w:tcPr>
          <w:p>
            <w:pPr>
              <w:spacing w:after="0"/>
            </w:pPr>
            <w:r/>
            <w:r>
              <w:rPr>
                <w:sz w:val="16"/>
              </w:rPr>
              <w:t>C</w:t>
            </w:r>
          </w:p>
        </w:tc>
      </w:tr>
      <w:tr>
        <w:tc>
          <w:tcPr>
            <w:tcW w:type="dxa" w:w="850"/>
          </w:tcPr>
          <w:p>
            <w:pPr>
              <w:spacing w:after="0"/>
            </w:pPr>
            <w:r/>
            <w:r>
              <w:rPr>
                <w:sz w:val="16"/>
              </w:rPr>
              <w:t>E4-05</w:t>
            </w:r>
          </w:p>
        </w:tc>
        <w:tc>
          <w:tcPr>
            <w:tcW w:type="dxa" w:w="907"/>
          </w:tcPr>
          <w:p>
            <w:pPr>
              <w:spacing w:after="0"/>
            </w:pPr>
            <w:r/>
            <w:r>
              <w:rPr>
                <w:sz w:val="16"/>
              </w:rPr>
              <w:t>17 Oct</w:t>
            </w:r>
          </w:p>
        </w:tc>
        <w:tc>
          <w:tcPr>
            <w:tcW w:type="dxa" w:w="1191"/>
          </w:tcPr>
          <w:p>
            <w:pPr>
              <w:spacing w:after="0"/>
            </w:pPr>
            <w:r/>
            <w:r>
              <w:rPr>
                <w:sz w:val="16"/>
              </w:rPr>
              <w:t>Privacy</w:t>
            </w:r>
          </w:p>
        </w:tc>
        <w:tc>
          <w:tcPr>
            <w:tcW w:type="dxa" w:w="2494"/>
          </w:tcPr>
          <w:p>
            <w:pPr>
              <w:spacing w:after="0"/>
            </w:pPr>
            <w:r/>
            <w:r>
              <w:rPr>
                <w:sz w:val="16"/>
              </w:rPr>
              <w:t>A dashboard distributed as a file could carry household-level data</w:t>
            </w:r>
          </w:p>
        </w:tc>
        <w:tc>
          <w:tcPr>
            <w:tcW w:type="dxa" w:w="2835"/>
          </w:tcPr>
          <w:p>
            <w:pPr>
              <w:spacing w:after="0"/>
            </w:pPr>
            <w:r/>
            <w:r>
              <w:rPr>
                <w:sz w:val="16"/>
              </w:rPr>
              <w:t>The export carries a row number in place of HouseholdID; no page shows an identifier, and the dashboard ships aggregates only</w:t>
            </w:r>
          </w:p>
        </w:tc>
        <w:tc>
          <w:tcPr>
            <w:tcW w:type="dxa" w:w="737"/>
          </w:tcPr>
          <w:p>
            <w:pPr>
              <w:spacing w:after="0"/>
            </w:pPr>
            <w:r/>
            <w:r>
              <w:rPr>
                <w:sz w:val="16"/>
              </w:rPr>
              <w:t>C</w:t>
            </w:r>
          </w:p>
        </w:tc>
      </w:tr>
      <w:tr>
        <w:tc>
          <w:tcPr>
            <w:tcW w:type="dxa" w:w="850"/>
          </w:tcPr>
          <w:p>
            <w:pPr>
              <w:spacing w:after="0"/>
            </w:pPr>
            <w:r/>
            <w:r>
              <w:rPr>
                <w:sz w:val="16"/>
              </w:rPr>
              <w:t>E4-06</w:t>
            </w:r>
          </w:p>
        </w:tc>
        <w:tc>
          <w:tcPr>
            <w:tcW w:type="dxa" w:w="907"/>
          </w:tcPr>
          <w:p>
            <w:pPr>
              <w:spacing w:after="0"/>
            </w:pPr>
            <w:r/>
            <w:r>
              <w:rPr>
                <w:sz w:val="16"/>
              </w:rPr>
              <w:t>17 Oct</w:t>
            </w:r>
          </w:p>
        </w:tc>
        <w:tc>
          <w:tcPr>
            <w:tcW w:type="dxa" w:w="1191"/>
          </w:tcPr>
          <w:p>
            <w:pPr>
              <w:spacing w:after="0"/>
            </w:pPr>
            <w:r/>
            <w:r>
              <w:rPr>
                <w:sz w:val="16"/>
              </w:rPr>
              <w:t>Fairness</w:t>
            </w:r>
          </w:p>
        </w:tc>
        <w:tc>
          <w:tcPr>
            <w:tcW w:type="dxa" w:w="2494"/>
          </w:tcPr>
          <w:p>
            <w:pPr>
              <w:spacing w:after="0"/>
            </w:pPr>
            <w:r/>
            <w:r>
              <w:rPr>
                <w:sz w:val="16"/>
              </w:rPr>
              <w:t>The subgroup recall gaps were only in the report, where an operational user would not see them</w:t>
            </w:r>
          </w:p>
        </w:tc>
        <w:tc>
          <w:tcPr>
            <w:tcW w:type="dxa" w:w="2835"/>
          </w:tcPr>
          <w:p>
            <w:pPr>
              <w:spacing w:after="0"/>
            </w:pPr>
            <w:r/>
            <w:r>
              <w:rPr>
                <w:sz w:val="16"/>
              </w:rPr>
              <w:t>Given a dashboard page of their own, with 95% intervals so small groups cannot be over-read; group-specific thresholds again declined</w:t>
            </w:r>
          </w:p>
        </w:tc>
        <w:tc>
          <w:tcPr>
            <w:tcW w:type="dxa" w:w="737"/>
          </w:tcPr>
          <w:p>
            <w:pPr>
              <w:spacing w:after="0"/>
            </w:pPr>
            <w:r/>
            <w:r>
              <w:rPr>
                <w:sz w:val="16"/>
              </w:rPr>
              <w:t>C</w:t>
            </w:r>
          </w:p>
        </w:tc>
      </w:tr>
      <w:tr>
        <w:tc>
          <w:tcPr>
            <w:tcW w:type="dxa" w:w="850"/>
          </w:tcPr>
          <w:p>
            <w:pPr>
              <w:spacing w:after="0"/>
            </w:pPr>
            <w:r/>
            <w:r>
              <w:rPr>
                <w:sz w:val="16"/>
              </w:rPr>
              <w:t>E4-07</w:t>
            </w:r>
          </w:p>
        </w:tc>
        <w:tc>
          <w:tcPr>
            <w:tcW w:type="dxa" w:w="907"/>
          </w:tcPr>
          <w:p>
            <w:pPr>
              <w:spacing w:after="0"/>
            </w:pPr>
            <w:r/>
            <w:r>
              <w:rPr>
                <w:sz w:val="16"/>
              </w:rPr>
              <w:t>17 Oct</w:t>
            </w:r>
          </w:p>
        </w:tc>
        <w:tc>
          <w:tcPr>
            <w:tcW w:type="dxa" w:w="1191"/>
          </w:tcPr>
          <w:p>
            <w:pPr>
              <w:spacing w:after="0"/>
            </w:pPr>
            <w:r/>
            <w:r>
              <w:rPr>
                <w:sz w:val="16"/>
              </w:rPr>
              <w:t>Deployment</w:t>
            </w:r>
          </w:p>
        </w:tc>
        <w:tc>
          <w:tcPr>
            <w:tcW w:type="dxa" w:w="2494"/>
          </w:tcPr>
          <w:p>
            <w:pPr>
              <w:spacing w:after="0"/>
            </w:pPr>
            <w:r/>
            <w:r>
              <w:rPr>
                <w:sz w:val="16"/>
              </w:rPr>
              <w:t>A dashboard page viewed on its own loses the context that this is a screening aid</w:t>
            </w:r>
          </w:p>
        </w:tc>
        <w:tc>
          <w:tcPr>
            <w:tcW w:type="dxa" w:w="2835"/>
          </w:tcPr>
          <w:p>
            <w:pPr>
              <w:spacing w:after="0"/>
            </w:pPr>
            <w:r/>
            <w:r>
              <w:rPr>
                <w:sz w:val="16"/>
              </w:rPr>
              <w:t>The screening-aid statement is in the footer of all seven pages, not only the landing page</w:t>
            </w:r>
          </w:p>
        </w:tc>
        <w:tc>
          <w:tcPr>
            <w:tcW w:type="dxa" w:w="737"/>
          </w:tcPr>
          <w:p>
            <w:pPr>
              <w:spacing w:after="0"/>
            </w:pPr>
            <w:r/>
            <w:r>
              <w:rPr>
                <w:sz w:val="16"/>
              </w:rPr>
              <w:t>C</w:t>
            </w:r>
          </w:p>
        </w:tc>
      </w:tr>
      <w:tr>
        <w:tc>
          <w:tcPr>
            <w:tcW w:type="dxa" w:w="850"/>
          </w:tcPr>
          <w:p>
            <w:pPr>
              <w:spacing w:after="0"/>
            </w:pPr>
            <w:r/>
            <w:r>
              <w:rPr>
                <w:sz w:val="16"/>
              </w:rPr>
              <w:t>E4-08</w:t>
            </w:r>
          </w:p>
        </w:tc>
        <w:tc>
          <w:tcPr>
            <w:tcW w:type="dxa" w:w="907"/>
          </w:tcPr>
          <w:p>
            <w:pPr>
              <w:spacing w:after="0"/>
            </w:pPr>
            <w:r/>
            <w:r>
              <w:rPr>
                <w:sz w:val="16"/>
              </w:rPr>
              <w:t>17 Oct</w:t>
            </w:r>
          </w:p>
        </w:tc>
        <w:tc>
          <w:tcPr>
            <w:tcW w:type="dxa" w:w="1191"/>
          </w:tcPr>
          <w:p>
            <w:pPr>
              <w:spacing w:after="0"/>
            </w:pPr>
            <w:r/>
            <w:r>
              <w:rPr>
                <w:sz w:val="16"/>
              </w:rPr>
              <w:t>Responsible AI</w:t>
            </w:r>
          </w:p>
        </w:tc>
        <w:tc>
          <w:tcPr>
            <w:tcW w:type="dxa" w:w="2494"/>
          </w:tcPr>
          <w:p>
            <w:pPr>
              <w:spacing w:after="0"/>
            </w:pPr>
            <w:r/>
            <w:r>
              <w:rPr>
                <w:sz w:val="16"/>
              </w:rPr>
              <w:t>The dashboard layout and the semantic model were generated by script with AI assistance, which is not obvious from the file</w:t>
            </w:r>
          </w:p>
        </w:tc>
        <w:tc>
          <w:tcPr>
            <w:tcW w:type="dxa" w:w="2835"/>
          </w:tcPr>
          <w:p>
            <w:pPr>
              <w:spacing w:after="0"/>
            </w:pPr>
            <w:r/>
            <w:r>
              <w:rPr>
                <w:sz w:val="16"/>
              </w:rPr>
              <w:t>Disclosed in AI-M4-C1 of this log, with every generator script committed to powerbi/M4_Merged_Dashboard/scripts/ so the output can be inspected and rebuilt</w:t>
            </w:r>
          </w:p>
        </w:tc>
        <w:tc>
          <w:tcPr>
            <w:tcW w:type="dxa" w:w="737"/>
          </w:tcPr>
          <w:p>
            <w:pPr>
              <w:spacing w:after="0"/>
            </w:pPr>
            <w:r/>
            <w:r>
              <w:rPr>
                <w:sz w:val="16"/>
              </w:rPr>
              <w:t>C</w:t>
            </w:r>
          </w:p>
        </w:tc>
      </w:tr>
      <w:tr>
        <w:tc>
          <w:tcPr>
            <w:tcW w:type="dxa" w:w="850"/>
          </w:tcPr>
          <w:p>
            <w:pPr>
              <w:spacing w:after="0"/>
            </w:pPr>
            <w:r/>
            <w:r>
              <w:rPr>
                <w:sz w:val="16"/>
              </w:rPr>
              <w:t>E4-09</w:t>
            </w:r>
          </w:p>
        </w:tc>
        <w:tc>
          <w:tcPr>
            <w:tcW w:type="dxa" w:w="907"/>
          </w:tcPr>
          <w:p>
            <w:pPr>
              <w:spacing w:after="0"/>
            </w:pPr>
            <w:r/>
            <w:r>
              <w:rPr>
                <w:sz w:val="16"/>
              </w:rPr>
              <w:t>18 Oct</w:t>
            </w:r>
          </w:p>
        </w:tc>
        <w:tc>
          <w:tcPr>
            <w:tcW w:type="dxa" w:w="1191"/>
          </w:tcPr>
          <w:p>
            <w:pPr>
              <w:spacing w:after="0"/>
            </w:pPr>
            <w:r/>
            <w:r>
              <w:rPr>
                <w:sz w:val="16"/>
              </w:rPr>
              <w:t>Presentation</w:t>
            </w:r>
          </w:p>
        </w:tc>
        <w:tc>
          <w:tcPr>
            <w:tcW w:type="dxa" w:w="2494"/>
          </w:tcPr>
          <w:p>
            <w:pPr>
              <w:spacing w:after="0"/>
            </w:pPr>
            <w:r/>
            <w:r>
              <w:rPr>
                <w:sz w:val="16"/>
              </w:rPr>
              <w:t>The Milestone 1 data-inventory and data-quality figures had become static prose on the merged dashboard, so a reader could not check them</w:t>
            </w:r>
          </w:p>
        </w:tc>
        <w:tc>
          <w:tcPr>
            <w:tcW w:type="dxa" w:w="2835"/>
          </w:tcPr>
          <w:p>
            <w:pPr>
              <w:spacing w:after="0"/>
            </w:pPr>
            <w:r/>
            <w:r>
              <w:rPr>
                <w:sz w:val="16"/>
              </w:rPr>
              <w:t>Rebuilt both pages on live tables measured off data/raw/ and the Milestone 2 cleaning log, so every count is traceable; Before and After are carried as text because they mean different things per row and must not be summed</w:t>
            </w:r>
          </w:p>
        </w:tc>
        <w:tc>
          <w:tcPr>
            <w:tcW w:type="dxa" w:w="737"/>
          </w:tcPr>
          <w:p>
            <w:pPr>
              <w:spacing w:after="0"/>
            </w:pPr>
            <w:r/>
            <w:r>
              <w:rPr>
                <w:sz w:val="16"/>
              </w:rPr>
              <w:t>C</w:t>
            </w:r>
          </w:p>
        </w:tc>
      </w:tr>
      <w:tr>
        <w:tc>
          <w:tcPr>
            <w:tcW w:type="dxa" w:w="850"/>
          </w:tcPr>
          <w:p>
            <w:pPr>
              <w:spacing w:after="0"/>
            </w:pPr>
            <w:r/>
            <w:r>
              <w:rPr>
                <w:sz w:val="16"/>
              </w:rPr>
              <w:t>E4-10</w:t>
            </w:r>
          </w:p>
        </w:tc>
        <w:tc>
          <w:tcPr>
            <w:tcW w:type="dxa" w:w="907"/>
          </w:tcPr>
          <w:p>
            <w:pPr>
              <w:spacing w:after="0"/>
            </w:pPr>
            <w:r/>
            <w:r>
              <w:rPr>
                <w:sz w:val="16"/>
              </w:rPr>
              <w:t>19 Oct</w:t>
            </w:r>
          </w:p>
        </w:tc>
        <w:tc>
          <w:tcPr>
            <w:tcW w:type="dxa" w:w="1191"/>
          </w:tcPr>
          <w:p>
            <w:pPr>
              <w:spacing w:after="0"/>
            </w:pPr>
            <w:r/>
            <w:r>
              <w:rPr>
                <w:sz w:val="16"/>
              </w:rPr>
              <w:t>Reproducibility</w:t>
            </w:r>
          </w:p>
        </w:tc>
        <w:tc>
          <w:tcPr>
            <w:tcW w:type="dxa" w:w="2494"/>
          </w:tcPr>
          <w:p>
            <w:pPr>
              <w:spacing w:after="0"/>
            </w:pPr>
            <w:r/>
            <w:r>
              <w:rPr>
                <w:sz w:val="16"/>
              </w:rPr>
              <w:t>The dashboard read its nine tables through a parameter holding an absolute path, so it only worked on the machine that built it and showed errors and empty visuals everywhere else</w:t>
            </w:r>
          </w:p>
        </w:tc>
        <w:tc>
          <w:tcPr>
            <w:tcW w:type="dxa" w:w="2835"/>
          </w:tcPr>
          <w:p>
            <w:pPr>
              <w:spacing w:after="0"/>
            </w:pPr>
            <w:r/>
            <w:r>
              <w:rPr>
                <w:sz w:val="16"/>
              </w:rPr>
              <w:t>Each table's data was gzipped and embedded in the model, removing the parameter and all file access, so the file behaves the same for every member; the build now decodes each payload back out and fails rather than ship one that does not round-trip</w:t>
            </w:r>
          </w:p>
        </w:tc>
        <w:tc>
          <w:tcPr>
            <w:tcW w:type="dxa" w:w="737"/>
          </w:tcPr>
          <w:p>
            <w:pPr>
              <w:spacing w:after="0"/>
            </w:pPr>
            <w:r/>
            <w:r>
              <w:rPr>
                <w:sz w:val="16"/>
              </w:rPr>
              <w:t>C</w:t>
            </w:r>
          </w:p>
        </w:tc>
      </w:tr>
      <w:tr>
        <w:tc>
          <w:tcPr>
            <w:tcW w:type="dxa" w:w="850"/>
          </w:tcPr>
          <w:p>
            <w:pPr>
              <w:spacing w:after="0"/>
            </w:pPr>
            <w:r/>
            <w:r>
              <w:rPr>
                <w:sz w:val="16"/>
              </w:rPr>
              <w:t>E4-11</w:t>
            </w:r>
          </w:p>
        </w:tc>
        <w:tc>
          <w:tcPr>
            <w:tcW w:type="dxa" w:w="907"/>
          </w:tcPr>
          <w:p>
            <w:pPr>
              <w:spacing w:after="0"/>
            </w:pPr>
            <w:r/>
            <w:r>
              <w:rPr>
                <w:sz w:val="16"/>
              </w:rPr>
              <w:t>TO CONFIRM</w:t>
            </w:r>
          </w:p>
        </w:tc>
        <w:tc>
          <w:tcPr>
            <w:tcW w:type="dxa" w:w="1191"/>
          </w:tcPr>
          <w:p>
            <w:pPr>
              <w:spacing w:after="0"/>
            </w:pPr>
            <w:r/>
            <w:r>
              <w:rPr>
                <w:sz w:val="16"/>
              </w:rPr>
              <w:t>Modelling / data</w:t>
            </w:r>
          </w:p>
        </w:tc>
        <w:tc>
          <w:tcPr>
            <w:tcW w:type="dxa" w:w="2494"/>
          </w:tcPr>
          <w:p>
            <w:pPr>
              <w:spacing w:after="0"/>
            </w:pPr>
            <w:r/>
            <w:r>
              <w:rPr>
                <w:sz w:val="16"/>
              </w:rPr>
              <w:t>TO CONFIRM</w:t>
            </w:r>
          </w:p>
        </w:tc>
        <w:tc>
          <w:tcPr>
            <w:tcW w:type="dxa" w:w="2835"/>
          </w:tcPr>
          <w:p>
            <w:pPr>
              <w:spacing w:after="0"/>
            </w:pPr>
            <w:r/>
            <w:r>
              <w:rPr>
                <w:sz w:val="16"/>
              </w:rPr>
              <w:t>TO CONFIRM</w:t>
            </w:r>
          </w:p>
        </w:tc>
        <w:tc>
          <w:tcPr>
            <w:tcW w:type="dxa" w:w="737"/>
          </w:tcPr>
          <w:p>
            <w:pPr>
              <w:spacing w:after="0"/>
            </w:pPr>
            <w:r/>
            <w:r>
              <w:rPr>
                <w:sz w:val="16"/>
              </w:rPr>
              <w:t>A</w:t>
            </w:r>
          </w:p>
        </w:tc>
      </w:tr>
      <w:tr>
        <w:tc>
          <w:tcPr>
            <w:tcW w:type="dxa" w:w="850"/>
          </w:tcPr>
          <w:p>
            <w:pPr>
              <w:spacing w:after="0"/>
            </w:pPr>
            <w:r/>
            <w:r>
              <w:rPr>
                <w:sz w:val="16"/>
              </w:rPr>
              <w:t>E4-12</w:t>
            </w:r>
          </w:p>
        </w:tc>
        <w:tc>
          <w:tcPr>
            <w:tcW w:type="dxa" w:w="907"/>
          </w:tcPr>
          <w:p>
            <w:pPr>
              <w:spacing w:after="0"/>
            </w:pPr>
            <w:r/>
            <w:r>
              <w:rPr>
                <w:sz w:val="16"/>
              </w:rPr>
              <w:t>TO CONFIRM</w:t>
            </w:r>
          </w:p>
        </w:tc>
        <w:tc>
          <w:tcPr>
            <w:tcW w:type="dxa" w:w="1191"/>
          </w:tcPr>
          <w:p>
            <w:pPr>
              <w:spacing w:after="0"/>
            </w:pPr>
            <w:r/>
            <w:r>
              <w:rPr>
                <w:sz w:val="16"/>
              </w:rPr>
              <w:t>Evaluation</w:t>
            </w:r>
          </w:p>
        </w:tc>
        <w:tc>
          <w:tcPr>
            <w:tcW w:type="dxa" w:w="2494"/>
          </w:tcPr>
          <w:p>
            <w:pPr>
              <w:spacing w:after="0"/>
            </w:pPr>
            <w:r/>
            <w:r>
              <w:rPr>
                <w:sz w:val="16"/>
              </w:rPr>
              <w:t>TO CONFIRM</w:t>
            </w:r>
          </w:p>
        </w:tc>
        <w:tc>
          <w:tcPr>
            <w:tcW w:type="dxa" w:w="2835"/>
          </w:tcPr>
          <w:p>
            <w:pPr>
              <w:spacing w:after="0"/>
            </w:pPr>
            <w:r/>
            <w:r>
              <w:rPr>
                <w:sz w:val="16"/>
              </w:rPr>
              <w:t>TO CONFIRM</w:t>
            </w:r>
          </w:p>
        </w:tc>
        <w:tc>
          <w:tcPr>
            <w:tcW w:type="dxa" w:w="737"/>
          </w:tcPr>
          <w:p>
            <w:pPr>
              <w:spacing w:after="0"/>
            </w:pPr>
            <w:r/>
            <w:r>
              <w:rPr>
                <w:sz w:val="16"/>
              </w:rPr>
              <w:t>B</w:t>
            </w:r>
          </w:p>
        </w:tc>
      </w:tr>
    </w:tbl>
    <w:p>
      <w:pPr>
        <w:spacing w:after="80"/>
      </w:pPr>
    </w:p>
    <w:p>
      <w:pPr>
        <w:spacing w:after="160"/>
      </w:pPr>
      <w:r>
        <w:rPr>
          <w:i/>
          <w:sz w:val="18"/>
        </w:rPr>
        <w:t>Table 1. Ethics decisions in Milestone 4 (A = Alexander Solomon, B = Rudi Jan du Plessis, C = Timothy Wubbeling).</w:t>
      </w:r>
    </w:p>
    <w:p>
      <w:pPr>
        <w:pStyle w:val="Heading1"/>
      </w:pPr>
      <w:r>
        <w:t>3. Use of AI tools</w:t>
      </w:r>
    </w:p>
    <w:p>
      <w:r>
        <w:rPr>
          <w:b w:val="0"/>
          <w:i w:val="0"/>
        </w:rPr>
        <w:t>Timothy Wubbeling (Person C) used Claude, a generative AI assistant made by Anthropic, through the Claude desktop application. The assistant could read and write files in the BIN381 project folder and run code there, so its output was tested against the project's own data rather than produced in isolation. In Milestone 4 it also opened the Power BI project and queried the loaded model directly, which is how the figures in AI-M4-C1 were confirmed.</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964"/>
          </w:tcPr>
          <w:p>
            <w:pPr>
              <w:spacing w:after="0"/>
            </w:pPr>
            <w:r/>
            <w:r>
              <w:rPr>
                <w:b/>
                <w:sz w:val="16"/>
              </w:rPr>
              <w:t>#</w:t>
            </w:r>
          </w:p>
        </w:tc>
        <w:tc>
          <w:tcPr>
            <w:tcW w:type="dxa" w:w="1361"/>
          </w:tcPr>
          <w:p>
            <w:pPr>
              <w:spacing w:after="0"/>
            </w:pPr>
            <w:r/>
            <w:r>
              <w:rPr>
                <w:b/>
                <w:sz w:val="16"/>
              </w:rPr>
              <w:t>Date, person, tool</w:t>
            </w:r>
          </w:p>
        </w:tc>
        <w:tc>
          <w:tcPr>
            <w:tcW w:type="dxa" w:w="2438"/>
          </w:tcPr>
          <w:p>
            <w:pPr>
              <w:spacing w:after="0"/>
            </w:pPr>
            <w:r/>
            <w:r>
              <w:rPr>
                <w:b/>
                <w:sz w:val="16"/>
              </w:rPr>
              <w:t>Task and what the AI produced</w:t>
            </w:r>
          </w:p>
        </w:tc>
        <w:tc>
          <w:tcPr>
            <w:tcW w:type="dxa" w:w="2154"/>
          </w:tcPr>
          <w:p>
            <w:pPr>
              <w:spacing w:after="0"/>
            </w:pPr>
            <w:r/>
            <w:r>
              <w:rPr>
                <w:b/>
                <w:sz w:val="16"/>
              </w:rPr>
              <w:t>How it was checked</w:t>
            </w:r>
          </w:p>
        </w:tc>
        <w:tc>
          <w:tcPr>
            <w:tcW w:type="dxa" w:w="2098"/>
          </w:tcPr>
          <w:p>
            <w:pPr>
              <w:spacing w:after="0"/>
            </w:pPr>
            <w:r/>
            <w:r>
              <w:rPr>
                <w:b/>
                <w:sz w:val="16"/>
              </w:rPr>
              <w:t>Decisions and changes by the team</w:t>
            </w:r>
          </w:p>
        </w:tc>
      </w:tr>
      <w:tr>
        <w:tc>
          <w:tcPr>
            <w:tcW w:type="dxa" w:w="964"/>
          </w:tcPr>
          <w:p>
            <w:pPr>
              <w:spacing w:after="0"/>
            </w:pPr>
            <w:r/>
            <w:r>
              <w:rPr>
                <w:sz w:val="16"/>
              </w:rPr>
              <w:t>AI-M4-C1</w:t>
            </w:r>
          </w:p>
        </w:tc>
        <w:tc>
          <w:tcPr>
            <w:tcW w:type="dxa" w:w="1361"/>
          </w:tcPr>
          <w:p>
            <w:pPr>
              <w:spacing w:after="0"/>
            </w:pPr>
            <w:r/>
            <w:r>
              <w:rPr>
                <w:sz w:val="16"/>
              </w:rPr>
              <w:t>17 Oct 2026</w:t>
            </w:r>
          </w:p>
          <w:p>
            <w:pPr>
              <w:spacing w:after="0"/>
            </w:pPr>
            <w:r>
              <w:rPr>
                <w:sz w:val="16"/>
              </w:rPr>
              <w:t>Timothy (C)</w:t>
            </w:r>
          </w:p>
          <w:p>
            <w:pPr>
              <w:spacing w:after="0"/>
            </w:pPr>
            <w:r>
              <w:rPr>
                <w:sz w:val="16"/>
              </w:rPr>
              <w:t>Claude (Anthropic)</w:t>
            </w:r>
          </w:p>
        </w:tc>
        <w:tc>
          <w:tcPr>
            <w:tcW w:type="dxa" w:w="2438"/>
          </w:tcPr>
          <w:p>
            <w:pPr>
              <w:spacing w:after="0"/>
            </w:pPr>
            <w:r/>
            <w:r>
              <w:rPr>
                <w:sz w:val="16"/>
              </w:rPr>
              <w:t>Merging the two dashboards. Claude read both .pbix files, mapped what each page contained, and generated a single seven-page Power BI project: the semantic model (8 tables, 32 measures, 6 calculated columns) and the report definition, in my Milestone 1 layout and dark theme. It wrote the generator scripts rather than hand-placing visuals, so the grid stays exact and the build is repeatable.</w:t>
            </w:r>
          </w:p>
        </w:tc>
        <w:tc>
          <w:tcPr>
            <w:tcW w:type="dxa" w:w="2154"/>
          </w:tcPr>
          <w:p>
            <w:pPr>
              <w:spacing w:after="0"/>
            </w:pPr>
            <w:r/>
            <w:r>
              <w:rPr>
                <w:sz w:val="16"/>
              </w:rPr>
              <w:t>The project was opened in Power BI Desktop and refreshed. Every measure was then queried over the local Analysis Services endpoint and compared with data/powerbi/ and data/evaluation/: 20,925 households, 28.3% at risk weighted, 18.6% severe, 59.2% referred, 6,279 test households, recall 0.807, precision 0.419, referred 0.589, ROC-AUC 0.736. The province reconciliation reads 0.0 points for all nine provinces. A pre-build validator checks every field reference against the model.</w:t>
            </w:r>
          </w:p>
        </w:tc>
        <w:tc>
          <w:tcPr>
            <w:tcW w:type="dxa" w:w="2098"/>
          </w:tcPr>
          <w:p>
            <w:pPr>
              <w:spacing w:after="0"/>
            </w:pPr>
            <w:r/>
            <w:r>
              <w:rPr>
                <w:sz w:val="16"/>
              </w:rPr>
              <w:t>I accepted the merge. Claude's draft kept a Milestone 1 map bound to a US shape file and I had it removed (E4-02). I have not yet walked all 92 visuals to confirm each renders as intended; that check is mine before I save the .pbix.</w:t>
            </w:r>
          </w:p>
        </w:tc>
      </w:tr>
      <w:tr>
        <w:tc>
          <w:tcPr>
            <w:tcW w:type="dxa" w:w="964"/>
          </w:tcPr>
          <w:p>
            <w:pPr>
              <w:spacing w:after="0"/>
            </w:pPr>
            <w:r/>
            <w:r>
              <w:rPr>
                <w:sz w:val="16"/>
              </w:rPr>
              <w:t>AI-M4-C2</w:t>
            </w:r>
          </w:p>
        </w:tc>
        <w:tc>
          <w:tcPr>
            <w:tcW w:type="dxa" w:w="1361"/>
          </w:tcPr>
          <w:p>
            <w:pPr>
              <w:spacing w:after="0"/>
            </w:pPr>
            <w:r/>
            <w:r>
              <w:rPr>
                <w:sz w:val="16"/>
              </w:rPr>
              <w:t>17 Oct 2026</w:t>
            </w:r>
          </w:p>
          <w:p>
            <w:pPr>
              <w:spacing w:after="0"/>
            </w:pPr>
            <w:r>
              <w:rPr>
                <w:sz w:val="16"/>
              </w:rPr>
              <w:t>Timothy (C)</w:t>
            </w:r>
          </w:p>
          <w:p>
            <w:pPr>
              <w:spacing w:after="0"/>
            </w:pPr>
            <w:r>
              <w:rPr>
                <w:sz w:val="16"/>
              </w:rPr>
              <w:t>Claude (Anthropic)</w:t>
            </w:r>
          </w:p>
        </w:tc>
        <w:tc>
          <w:tcPr>
            <w:tcW w:type="dxa" w:w="2438"/>
          </w:tcPr>
          <w:p>
            <w:pPr>
              <w:spacing w:after="0"/>
            </w:pPr>
            <w:r/>
            <w:r>
              <w:rPr>
                <w:sz w:val="16"/>
              </w:rPr>
              <w:t>The what-if threshold table. Rudi's hand-over documented the recall/precision trade-off as a prose table. Claude computed it for every threshold from 0.05 to 0.90 from the household export and wrote it out as data/powerbi/powerbi_threshold_curve.csv, plus scripts/make_threshold_curve.R to regenerate it after a retrain.</w:t>
            </w:r>
          </w:p>
        </w:tc>
        <w:tc>
          <w:tcPr>
            <w:tcW w:type="dxa" w:w="2154"/>
          </w:tcPr>
          <w:p>
            <w:pPr>
              <w:spacing w:after="0"/>
            </w:pPr>
            <w:r/>
            <w:r>
              <w:rPr>
                <w:sz w:val="16"/>
              </w:rPr>
              <w:t>The deployed row reproduces powerbi_model_summary.csv exactly, and all nine rows of Rudi's documented curve match to three decimals (0.14 -&gt; 95.9%, 0.24 -&gt; 80.7%, 0.50 -&gt; 31.1%). The R script carries the same assertions.</w:t>
            </w:r>
          </w:p>
        </w:tc>
        <w:tc>
          <w:tcPr>
            <w:tcW w:type="dxa" w:w="2098"/>
          </w:tcPr>
          <w:p>
            <w:pPr>
              <w:spacing w:after="0"/>
            </w:pPr>
            <w:r/>
            <w:r>
              <w:rPr>
                <w:sz w:val="16"/>
              </w:rPr>
              <w:t>Accepted. The shipped CSV was produced by the Python version; the R script has not been run because R is not installed on my machine, and I must execute it once before relying on it.</w:t>
            </w:r>
          </w:p>
        </w:tc>
      </w:tr>
      <w:tr>
        <w:tc>
          <w:tcPr>
            <w:tcW w:type="dxa" w:w="964"/>
          </w:tcPr>
          <w:p>
            <w:pPr>
              <w:spacing w:after="0"/>
            </w:pPr>
            <w:r/>
            <w:r>
              <w:rPr>
                <w:sz w:val="16"/>
              </w:rPr>
              <w:t>AI-M4-C3</w:t>
            </w:r>
          </w:p>
        </w:tc>
        <w:tc>
          <w:tcPr>
            <w:tcW w:type="dxa" w:w="1361"/>
          </w:tcPr>
          <w:p>
            <w:pPr>
              <w:spacing w:after="0"/>
            </w:pPr>
            <w:r/>
            <w:r>
              <w:rPr>
                <w:sz w:val="16"/>
              </w:rPr>
              <w:t>17 Oct 2026</w:t>
            </w:r>
          </w:p>
          <w:p>
            <w:pPr>
              <w:spacing w:after="0"/>
            </w:pPr>
            <w:r>
              <w:rPr>
                <w:sz w:val="16"/>
              </w:rPr>
              <w:t>Timothy (C)</w:t>
            </w:r>
          </w:p>
          <w:p>
            <w:pPr>
              <w:spacing w:after="0"/>
            </w:pPr>
            <w:r>
              <w:rPr>
                <w:sz w:val="16"/>
              </w:rPr>
              <w:t>Claude (Anthropic)</w:t>
            </w:r>
          </w:p>
        </w:tc>
        <w:tc>
          <w:tcPr>
            <w:tcW w:type="dxa" w:w="2438"/>
          </w:tcPr>
          <w:p>
            <w:pPr>
              <w:spacing w:after="0"/>
            </w:pPr>
            <w:r/>
            <w:r>
              <w:rPr>
                <w:sz w:val="16"/>
              </w:rPr>
              <w:t>Report sections 5 and 7. Claude drafted the dashboard-and-deployment and ethics sections as a script (build_personC_sections.py) that reads every figure from data/evaluation/ and data/powerbi/ at build time, in the same pattern as Rudi's section builder, so the prose cannot drift from the notebooks.</w:t>
            </w:r>
          </w:p>
        </w:tc>
        <w:tc>
          <w:tcPr>
            <w:tcW w:type="dxa" w:w="2154"/>
          </w:tcPr>
          <w:p>
            <w:pPr>
              <w:spacing w:after="0"/>
            </w:pPr>
            <w:r/>
            <w:r>
              <w:rPr>
                <w:sz w:val="16"/>
              </w:rPr>
              <w:t>Each figure in the output was traced back to its source file. The deployment description was checked line by line against my own Milestone 3 Person C notebook and app/R/validate.R, score.R and monitor.R. The ethics table was checked against the Milestone 3 ethics log.</w:t>
            </w:r>
          </w:p>
        </w:tc>
        <w:tc>
          <w:tcPr>
            <w:tcW w:type="dxa" w:w="2098"/>
          </w:tcPr>
          <w:p>
            <w:pPr>
              <w:spacing w:after="0"/>
            </w:pPr>
            <w:r/>
            <w:r>
              <w:rPr>
                <w:sz w:val="16"/>
              </w:rPr>
              <w:t>I reviewed and edited the draft and I am the author of the judgements in it. Claude flagged that the two sections run to about three pages against a 2.5-page budget; the trimming is mine once Alexander's and Rudi's sections are in and the real page count is known.</w:t>
            </w:r>
          </w:p>
        </w:tc>
      </w:tr>
      <w:tr>
        <w:tc>
          <w:tcPr>
            <w:tcW w:type="dxa" w:w="964"/>
          </w:tcPr>
          <w:p>
            <w:pPr>
              <w:spacing w:after="0"/>
            </w:pPr>
            <w:r/>
            <w:r>
              <w:rPr>
                <w:sz w:val="16"/>
              </w:rPr>
              <w:t>AI-M4-C4</w:t>
            </w:r>
          </w:p>
        </w:tc>
        <w:tc>
          <w:tcPr>
            <w:tcW w:type="dxa" w:w="1361"/>
          </w:tcPr>
          <w:p>
            <w:pPr>
              <w:spacing w:after="0"/>
            </w:pPr>
            <w:r/>
            <w:r>
              <w:rPr>
                <w:sz w:val="16"/>
              </w:rPr>
              <w:t>17 Oct 2026</w:t>
            </w:r>
          </w:p>
          <w:p>
            <w:pPr>
              <w:spacing w:after="0"/>
            </w:pPr>
            <w:r>
              <w:rPr>
                <w:sz w:val="16"/>
              </w:rPr>
              <w:t>Timothy (C)</w:t>
            </w:r>
          </w:p>
          <w:p>
            <w:pPr>
              <w:spacing w:after="0"/>
            </w:pPr>
            <w:r>
              <w:rPr>
                <w:sz w:val="16"/>
              </w:rPr>
              <w:t>Claude (Anthropic)</w:t>
            </w:r>
          </w:p>
        </w:tc>
        <w:tc>
          <w:tcPr>
            <w:tcW w:type="dxa" w:w="2438"/>
          </w:tcPr>
          <w:p>
            <w:pPr>
              <w:spacing w:after="0"/>
            </w:pPr>
            <w:r/>
            <w:r>
              <w:rPr>
                <w:sz w:val="16"/>
              </w:rPr>
              <w:t>Slides 8 to 10 and the demo running order, including the messy-upload demonstration and the prepared answers.</w:t>
            </w:r>
          </w:p>
        </w:tc>
        <w:tc>
          <w:tcPr>
            <w:tcW w:type="dxa" w:w="2154"/>
          </w:tcPr>
          <w:p>
            <w:pPr>
              <w:spacing w:after="0"/>
            </w:pPr>
            <w:r/>
            <w:r>
              <w:rPr>
                <w:sz w:val="16"/>
              </w:rPr>
              <w:t>Every number on the slides was checked against the report and data/evaluation/. The demo sequence was walked through against the running app.</w:t>
            </w:r>
          </w:p>
        </w:tc>
        <w:tc>
          <w:tcPr>
            <w:tcW w:type="dxa" w:w="2098"/>
          </w:tcPr>
          <w:p>
            <w:pPr>
              <w:spacing w:after="0"/>
            </w:pPr>
            <w:r/>
            <w:r>
              <w:rPr>
                <w:sz w:val="16"/>
              </w:rPr>
              <w:t>Draft only. I rewrote the speaker notes in my own words before rehearsal, since I am the one presenting them.</w:t>
            </w:r>
          </w:p>
        </w:tc>
      </w:tr>
      <w:tr>
        <w:tc>
          <w:tcPr>
            <w:tcW w:type="dxa" w:w="964"/>
          </w:tcPr>
          <w:p>
            <w:pPr>
              <w:spacing w:after="0"/>
            </w:pPr>
            <w:r/>
            <w:r>
              <w:rPr>
                <w:sz w:val="16"/>
              </w:rPr>
              <w:t>AI-M4-C5</w:t>
            </w:r>
          </w:p>
        </w:tc>
        <w:tc>
          <w:tcPr>
            <w:tcW w:type="dxa" w:w="1361"/>
          </w:tcPr>
          <w:p>
            <w:pPr>
              <w:spacing w:after="0"/>
            </w:pPr>
            <w:r/>
            <w:r>
              <w:rPr>
                <w:sz w:val="16"/>
              </w:rPr>
              <w:t>17 Oct 2026</w:t>
            </w:r>
          </w:p>
          <w:p>
            <w:pPr>
              <w:spacing w:after="0"/>
            </w:pPr>
            <w:r>
              <w:rPr>
                <w:sz w:val="16"/>
              </w:rPr>
              <w:t>Timothy (C)</w:t>
            </w:r>
          </w:p>
          <w:p>
            <w:pPr>
              <w:spacing w:after="0"/>
            </w:pPr>
            <w:r>
              <w:rPr>
                <w:sz w:val="16"/>
              </w:rPr>
              <w:t>Claude (Anthropic)</w:t>
            </w:r>
          </w:p>
        </w:tc>
        <w:tc>
          <w:tcPr>
            <w:tcW w:type="dxa" w:w="2438"/>
          </w:tcPr>
          <w:p>
            <w:pPr>
              <w:spacing w:after="0"/>
            </w:pPr>
            <w:r/>
            <w:r>
              <w:rPr>
                <w:sz w:val="16"/>
              </w:rPr>
              <w:t>Hand-over and maintenance notes, the dashboard README, and the first draft of this log including the Milestone 4 ethics decisions in section 2.</w:t>
            </w:r>
          </w:p>
        </w:tc>
        <w:tc>
          <w:tcPr>
            <w:tcW w:type="dxa" w:w="2154"/>
          </w:tcPr>
          <w:p>
            <w:pPr>
              <w:spacing w:after="0"/>
            </w:pPr>
            <w:r/>
            <w:r>
              <w:rPr>
                <w:sz w:val="16"/>
              </w:rPr>
              <w:t>The monitoring thresholds and retraining triggers were checked against data/evaluation/monitoring_baseline.csv and R/review_monitoring.R. The ethics rows describe decisions I took during the merge.</w:t>
            </w:r>
          </w:p>
        </w:tc>
        <w:tc>
          <w:tcPr>
            <w:tcW w:type="dxa" w:w="2098"/>
          </w:tcPr>
          <w:p>
            <w:pPr>
              <w:spacing w:after="0"/>
            </w:pPr>
            <w:r/>
            <w:r>
              <w:rPr>
                <w:sz w:val="16"/>
              </w:rPr>
              <w:t>Reviewed and accepted. The entries describing my own reasoning are mine; Claude wrote them down.</w:t>
            </w:r>
          </w:p>
        </w:tc>
      </w:tr>
      <w:tr>
        <w:tc>
          <w:tcPr>
            <w:tcW w:type="dxa" w:w="964"/>
          </w:tcPr>
          <w:p>
            <w:pPr>
              <w:spacing w:after="0"/>
            </w:pPr>
            <w:r/>
            <w:r>
              <w:rPr>
                <w:sz w:val="16"/>
              </w:rPr>
              <w:t>AI-M4-C6</w:t>
            </w:r>
          </w:p>
        </w:tc>
        <w:tc>
          <w:tcPr>
            <w:tcW w:type="dxa" w:w="1361"/>
          </w:tcPr>
          <w:p>
            <w:pPr>
              <w:spacing w:after="0"/>
            </w:pPr>
            <w:r/>
            <w:r>
              <w:rPr>
                <w:sz w:val="16"/>
              </w:rPr>
              <w:t>17 Oct 2026</w:t>
            </w:r>
          </w:p>
          <w:p>
            <w:pPr>
              <w:spacing w:after="0"/>
            </w:pPr>
            <w:r>
              <w:rPr>
                <w:sz w:val="16"/>
              </w:rPr>
              <w:t>Timothy (C)</w:t>
            </w:r>
          </w:p>
          <w:p>
            <w:pPr>
              <w:spacing w:after="0"/>
            </w:pPr>
            <w:r>
              <w:rPr>
                <w:sz w:val="16"/>
              </w:rPr>
              <w:t>Claude (Anthropic)</w:t>
            </w:r>
          </w:p>
        </w:tc>
        <w:tc>
          <w:tcPr>
            <w:tcW w:type="dxa" w:w="2438"/>
          </w:tcPr>
          <w:p>
            <w:pPr>
              <w:spacing w:after="0"/>
            </w:pPr>
            <w:r/>
            <w:r>
              <w:rPr>
                <w:sz w:val="16"/>
              </w:rPr>
              <w:t>Reflection. Claude produced a first draft of my personal reflection from this session's work and the project history.</w:t>
            </w:r>
          </w:p>
        </w:tc>
        <w:tc>
          <w:tcPr>
            <w:tcW w:type="dxa" w:w="2154"/>
          </w:tcPr>
          <w:p>
            <w:pPr>
              <w:spacing w:after="0"/>
            </w:pPr>
            <w:r/>
            <w:r>
              <w:rPr>
                <w:sz w:val="16"/>
              </w:rPr>
              <w:t>Not applicable - a personal reflection cannot be verified against data.</w:t>
            </w:r>
          </w:p>
        </w:tc>
        <w:tc>
          <w:tcPr>
            <w:tcW w:type="dxa" w:w="2098"/>
          </w:tcPr>
          <w:p>
            <w:pPr>
              <w:spacing w:after="0"/>
            </w:pPr>
            <w:r/>
            <w:r>
              <w:rPr>
                <w:sz w:val="16"/>
              </w:rPr>
              <w:t>Rewritten by me in my own words. A reflection that I did not write would not be my reflection, and this entry records that a draft existed.</w:t>
            </w:r>
          </w:p>
        </w:tc>
      </w:tr>
      <w:tr>
        <w:tc>
          <w:tcPr>
            <w:tcW w:type="dxa" w:w="964"/>
          </w:tcPr>
          <w:p>
            <w:pPr>
              <w:spacing w:after="0"/>
            </w:pPr>
            <w:r/>
            <w:r>
              <w:rPr>
                <w:sz w:val="16"/>
              </w:rPr>
              <w:t>AI-M4-C7</w:t>
            </w:r>
          </w:p>
        </w:tc>
        <w:tc>
          <w:tcPr>
            <w:tcW w:type="dxa" w:w="1361"/>
          </w:tcPr>
          <w:p>
            <w:pPr>
              <w:spacing w:after="0"/>
            </w:pPr>
            <w:r/>
            <w:r>
              <w:rPr>
                <w:sz w:val="16"/>
              </w:rPr>
              <w:t>18 Oct 2026</w:t>
            </w:r>
          </w:p>
          <w:p>
            <w:pPr>
              <w:spacing w:after="0"/>
            </w:pPr>
            <w:r>
              <w:rPr>
                <w:sz w:val="16"/>
              </w:rPr>
              <w:t>Timothy (C)</w:t>
            </w:r>
          </w:p>
          <w:p>
            <w:pPr>
              <w:spacing w:after="0"/>
            </w:pPr>
            <w:r>
              <w:rPr>
                <w:sz w:val="16"/>
              </w:rPr>
              <w:t>Claude (Anthropic)</w:t>
            </w:r>
          </w:p>
        </w:tc>
        <w:tc>
          <w:tcPr>
            <w:tcW w:type="dxa" w:w="2438"/>
          </w:tcPr>
          <w:p>
            <w:pPr>
              <w:spacing w:after="0"/>
            </w:pPr>
            <w:r/>
            <w:r>
              <w:rPr>
                <w:sz w:val="16"/>
              </w:rPr>
              <w:t>Restoring the Milestone 1 metrics. I asked whether any of my Milestone 1 dashboard metrics had been lost in the merge. Claude audited it, reported that the food-security measures had carried over but that the data-inventory and data-quality metrics had become static text, and rebuilt both as live pages: one table counted off data/raw/ and one reshaped from my own Milestone 2 cleaning log.</w:t>
            </w:r>
          </w:p>
        </w:tc>
        <w:tc>
          <w:tcPr>
            <w:tcW w:type="dxa" w:w="2154"/>
          </w:tcPr>
          <w:p>
            <w:pPr>
              <w:spacing w:after="0"/>
            </w:pPr>
            <w:r/>
            <w:r>
              <w:rPr>
                <w:sz w:val="16"/>
              </w:rPr>
              <w:t>Queried against the loaded model and the sources: 10 datasets profiled, 7 selected, 146,626 rows in the selection, 20,940 households after de-duplication, 46 duplicate rows removed, 229 columns profiled, 115 cleaning-log entries across 16 problem types, 113 columns repaired. The generator asserts each of these and fails if they move. Pages 1 to 6 were re-queried and had not changed.</w:t>
            </w:r>
          </w:p>
        </w:tc>
        <w:tc>
          <w:tcPr>
            <w:tcW w:type="dxa" w:w="2098"/>
          </w:tcPr>
          <w:p>
            <w:pPr>
              <w:spacing w:after="0"/>
            </w:pPr>
            <w:r/>
            <w:r>
              <w:rPr>
                <w:sz w:val="16"/>
              </w:rPr>
              <w:t>Accepted. Claude also found that its own build script deleted the project's README and scripts folder on every rebuild, and fixed it. The dashboard is now nine pages.</w:t>
            </w:r>
          </w:p>
        </w:tc>
      </w:tr>
      <w:tr>
        <w:tc>
          <w:tcPr>
            <w:tcW w:type="dxa" w:w="964"/>
          </w:tcPr>
          <w:p>
            <w:pPr>
              <w:spacing w:after="0"/>
            </w:pPr>
            <w:r/>
            <w:r>
              <w:rPr>
                <w:sz w:val="16"/>
              </w:rPr>
              <w:t>AI-M4-C8</w:t>
            </w:r>
          </w:p>
        </w:tc>
        <w:tc>
          <w:tcPr>
            <w:tcW w:type="dxa" w:w="1361"/>
          </w:tcPr>
          <w:p>
            <w:pPr>
              <w:spacing w:after="0"/>
            </w:pPr>
            <w:r/>
            <w:r>
              <w:rPr>
                <w:sz w:val="16"/>
              </w:rPr>
              <w:t>19 Oct 2026</w:t>
            </w:r>
          </w:p>
          <w:p>
            <w:pPr>
              <w:spacing w:after="0"/>
            </w:pPr>
            <w:r>
              <w:rPr>
                <w:sz w:val="16"/>
              </w:rPr>
              <w:t>Timothy (C)</w:t>
            </w:r>
          </w:p>
          <w:p>
            <w:pPr>
              <w:spacing w:after="0"/>
            </w:pPr>
            <w:r>
              <w:rPr>
                <w:sz w:val="16"/>
              </w:rPr>
              <w:t>Claude (Anthropic)</w:t>
            </w:r>
          </w:p>
        </w:tc>
        <w:tc>
          <w:tcPr>
            <w:tcW w:type="dxa" w:w="2438"/>
          </w:tcPr>
          <w:p>
            <w:pPr>
              <w:spacing w:after="0"/>
            </w:pPr>
            <w:r/>
            <w:r>
              <w:rPr>
                <w:sz w:val="16"/>
              </w:rPr>
              <w:t>Fixing the dashboard for the rest of the team. We opened the committed dashboard and got errors on every visual and no data. Claude diagnosed it as the absolute path in the DataFolder parameter, which only resolved on the machine that built the file, and replaced the file-based tables with data embedded in the model so there is no path and no parameter.</w:t>
            </w:r>
          </w:p>
        </w:tc>
        <w:tc>
          <w:tcPr>
            <w:tcW w:type="dxa" w:w="2154"/>
          </w:tcPr>
          <w:p>
            <w:pPr>
              <w:spacing w:after="0"/>
            </w:pPr>
            <w:r/>
            <w:r>
              <w:rPr>
                <w:sz w:val="16"/>
              </w:rPr>
              <w:t>Tested by copying the dashboard to a folder with no data directory anywhere near it: all nine tables loaded, 20,925 households, and every figure matched the earlier run including the province reconciliation at 0.0 points. The first attempt at embedding failed in Power BI with 'Invalid binary encoding'; Claude traced that to a formatting bug in its own build script, fixed it, and added a check that decodes each embedded table back out and fails the build if it does not match the source file.</w:t>
            </w:r>
          </w:p>
        </w:tc>
        <w:tc>
          <w:tcPr>
            <w:tcW w:type="dxa" w:w="2098"/>
          </w:tcPr>
          <w:p>
            <w:pPr>
              <w:spacing w:after="0"/>
            </w:pPr>
            <w:r/>
            <w:r>
              <w:rPr>
                <w:sz w:val="16"/>
              </w:rPr>
              <w:t>Accepted. Claude also found that a long folder path makes Power BI open a blank document instead of the project, with no explanatory error, and wrote that up as a known issue with the advice to clone somewhere short.</w:t>
            </w:r>
          </w:p>
        </w:tc>
      </w:tr>
      <w:tr>
        <w:tc>
          <w:tcPr>
            <w:tcW w:type="dxa" w:w="964"/>
          </w:tcPr>
          <w:p>
            <w:pPr>
              <w:spacing w:after="0"/>
            </w:pPr>
            <w:r/>
            <w:r>
              <w:rPr>
                <w:sz w:val="16"/>
              </w:rPr>
              <w:t>AI-M4-A1</w:t>
            </w:r>
          </w:p>
        </w:tc>
        <w:tc>
          <w:tcPr>
            <w:tcW w:type="dxa" w:w="1361"/>
          </w:tcPr>
          <w:p>
            <w:pPr>
              <w:spacing w:after="0"/>
            </w:pPr>
            <w:r/>
            <w:r>
              <w:rPr>
                <w:sz w:val="16"/>
              </w:rPr>
              <w:t>TO CONFIRM</w:t>
            </w:r>
          </w:p>
        </w:tc>
        <w:tc>
          <w:tcPr>
            <w:tcW w:type="dxa" w:w="2438"/>
          </w:tcPr>
          <w:p>
            <w:pPr>
              <w:spacing w:after="0"/>
            </w:pPr>
            <w:r/>
            <w:r>
              <w:rPr>
                <w:sz w:val="16"/>
              </w:rPr>
              <w:t>TO CONFIRM</w:t>
            </w:r>
          </w:p>
        </w:tc>
        <w:tc>
          <w:tcPr>
            <w:tcW w:type="dxa" w:w="2154"/>
          </w:tcPr>
          <w:p>
            <w:pPr>
              <w:spacing w:after="0"/>
            </w:pPr>
            <w:r/>
            <w:r>
              <w:rPr>
                <w:sz w:val="16"/>
              </w:rPr>
              <w:t>TO CONFIRM</w:t>
            </w:r>
          </w:p>
        </w:tc>
        <w:tc>
          <w:tcPr>
            <w:tcW w:type="dxa" w:w="2098"/>
          </w:tcPr>
          <w:p>
            <w:pPr>
              <w:spacing w:after="0"/>
            </w:pPr>
            <w:r/>
            <w:r>
              <w:rPr>
                <w:sz w:val="16"/>
              </w:rPr>
              <w:t>TO CONFIRM</w:t>
            </w:r>
          </w:p>
        </w:tc>
      </w:tr>
      <w:tr>
        <w:tc>
          <w:tcPr>
            <w:tcW w:type="dxa" w:w="964"/>
          </w:tcPr>
          <w:p>
            <w:pPr>
              <w:spacing w:after="0"/>
            </w:pPr>
            <w:r/>
            <w:r>
              <w:rPr>
                <w:sz w:val="16"/>
              </w:rPr>
              <w:t>AI-M4-B1 to B9</w:t>
            </w:r>
          </w:p>
        </w:tc>
        <w:tc>
          <w:tcPr>
            <w:tcW w:type="dxa" w:w="1361"/>
          </w:tcPr>
          <w:p>
            <w:pPr>
              <w:spacing w:after="0"/>
            </w:pPr>
            <w:r/>
            <w:r>
              <w:rPr>
                <w:sz w:val="16"/>
              </w:rPr>
              <w:t>17 Oct 2026</w:t>
            </w:r>
          </w:p>
          <w:p>
            <w:pPr>
              <w:spacing w:after="0"/>
            </w:pPr>
            <w:r>
              <w:rPr>
                <w:sz w:val="16"/>
              </w:rPr>
              <w:t>Rudi (B)</w:t>
            </w:r>
          </w:p>
          <w:p>
            <w:pPr>
              <w:spacing w:after="0"/>
            </w:pPr>
            <w:r>
              <w:rPr>
                <w:sz w:val="16"/>
              </w:rPr>
              <w:t>Claude (Anthropic)</w:t>
            </w:r>
          </w:p>
        </w:tc>
        <w:tc>
          <w:tcPr>
            <w:tcW w:type="dxa" w:w="2438"/>
          </w:tcPr>
          <w:p>
            <w:pPr>
              <w:spacing w:after="0"/>
            </w:pPr>
            <w:r/>
            <w:r>
              <w:rPr>
                <w:sz w:val="16"/>
              </w:rPr>
              <w:t>Dashboard pages, report sections 4, 6 and 8, slides 5 to 7, and the check that every evaluation figure quoted in a deliverable reconciles with data/evaluation/. Each use is recorded separately in Appendix A of the report.</w:t>
            </w:r>
          </w:p>
        </w:tc>
        <w:tc>
          <w:tcPr>
            <w:tcW w:type="dxa" w:w="2154"/>
          </w:tcPr>
          <w:p>
            <w:pPr>
              <w:spacing w:after="0"/>
            </w:pPr>
            <w:r/>
            <w:r>
              <w:rPr>
                <w:sz w:val="16"/>
              </w:rPr>
              <w:t>See Appendix A: every entry names what was checked and against which file.</w:t>
            </w:r>
          </w:p>
        </w:tc>
        <w:tc>
          <w:tcPr>
            <w:tcW w:type="dxa" w:w="2098"/>
          </w:tcPr>
          <w:p>
            <w:pPr>
              <w:spacing w:after="0"/>
            </w:pPr>
            <w:r/>
            <w:r>
              <w:rPr>
                <w:sz w:val="16"/>
              </w:rPr>
              <w:t>Listed here so this log covers the whole group; Appendix A carries the detail and is Rudi's to sign off.</w:t>
            </w:r>
          </w:p>
        </w:tc>
      </w:tr>
    </w:tbl>
    <w:p>
      <w:pPr>
        <w:spacing w:after="80"/>
      </w:pPr>
    </w:p>
    <w:p>
      <w:pPr>
        <w:spacing w:after="160"/>
      </w:pPr>
      <w:r>
        <w:rPr>
          <w:i/>
          <w:sz w:val="18"/>
        </w:rPr>
        <w:t>Table 2. Use of AI tools in Milestone 4.</w:t>
      </w:r>
    </w:p>
    <w:p>
      <w:pPr>
        <w:pStyle w:val="Heading1"/>
      </w:pPr>
      <w:r>
        <w:t>4. Acknowledgement statement for the report</w:t>
      </w:r>
    </w:p>
    <w:p>
      <w:r>
        <w:rPr>
          <w:b w:val="0"/>
          <w:i w:val="0"/>
        </w:rPr>
        <w:t>Generative AI assistance (Claude, Anthropic) was used during this project. It was used for planning, for drafting and refactoring code, for building the Power BI project and its generator scripts, and for drafting report and presentation text. Every figure it produced was checked against the project's own data files, and every piece of code it wrote was executed and compared with results computed independently. The members of Group P1 reviewed, edited and approved all submitted material, and remain the authors of the analysis, the decisions and the conclusions. Each use is recorded in this log.</w:t>
      </w:r>
    </w:p>
    <w:p>
      <w:pPr>
        <w:pStyle w:val="Heading1"/>
      </w:pPr>
      <w:r>
        <w:t>5. Responsible use</w:t>
      </w:r>
    </w:p>
    <w:p>
      <w:r>
        <w:rPr>
          <w:b w:val="0"/>
          <w:i w:val="0"/>
        </w:rPr>
        <w:t>Three rules governed the use of AI tools, and they are the reason this log can be specific.</w:t>
      </w:r>
    </w:p>
    <w:p>
      <w:pPr>
        <w:pStyle w:val="ListNumber"/>
      </w:pPr>
      <w:r>
        <w:t>Nothing was accepted on the assistant's word. AI-written code was run against the project's data, and its output compared with a figure computed by another route. The dashboard is the clearest case: the assistant built it, and it was then checked by querying the loaded model and subtracting the R pipeline's own numbers from it.</w:t>
      </w:r>
    </w:p>
    <w:p>
      <w:pPr>
        <w:pStyle w:val="ListNumber"/>
      </w:pPr>
      <w:r>
        <w:t>The assistant was corrected when it was wrong. It kept a map from the first iteration that was bound to the wrong country's geography (E4-02), and its first draft of report sections 5 and 7 overran the page budget. Both are recorded above rather than quietly fixed.</w:t>
      </w:r>
    </w:p>
    <w:p>
      <w:pPr>
        <w:pStyle w:val="ListNumber"/>
      </w:pPr>
      <w:r>
        <w:t>Personal and evaluative writing stays personal. The reflection was redrafted by its author (AI-M4-C6), and the ethics decisions in section 2 record judgements the team made, written down with assistance rather than decided by it.</w:t>
      </w:r>
    </w:p>
    <w:p>
      <w:pPr>
        <w:pStyle w:val="Heading1"/>
      </w:pPr>
      <w:r>
        <w:t>6. Reflection - Timothy Wubbeling (Person C)</w:t>
      </w:r>
    </w:p>
    <w:p>
      <w:r>
        <w:rPr>
          <w:b w:val="0"/>
          <w:i/>
          <w:sz w:val="20"/>
        </w:rPr>
        <w:t>Draft for Timothy to rewrite - see AI-M4-C6. A reflection in someone else's words is not a reflection; use this only as a prompt for your own, and keep it to 150-200 words.</w:t>
      </w:r>
    </w:p>
    <w:p>
      <w:r>
        <w:rPr>
          <w:b w:val="0"/>
          <w:i w:val="0"/>
        </w:rPr>
        <w:t>Milestone 4 was the first time the whole project had to agree with itself. My job was not new analysis but making the dashboard, the app and the report quote one set of numbers. Two correct referral rates, 58.9% on the test set and 59.2% across all households, could have looked like a mistake; the fix was to label both rather than hide one.</w:t>
      </w:r>
    </w:p>
    <w:p>
      <w:r>
        <w:rPr>
          <w:b w:val="0"/>
          <w:i w:val="0"/>
        </w:rPr>
        <w:t>What surprised me was how much of the merge was judgement rather than technique. My Milestone 1 dashboard read the raw files, so bolting its pages on would have put pre-cleaning numbers beside final ones; rebuilding them on the integrated data was slower and the only honest option. I also removed a map I had been proud of, which was bound to a United States shape file and had never drawn South African provinces.</w:t>
      </w:r>
    </w:p>
    <w:p>
      <w:r>
        <w:rPr>
          <w:b w:val="0"/>
          <w:i w:val="0"/>
        </w:rPr>
        <w:t>What changed is where I think accuracy comes from. In Milestone 2 I trusted a clean notebook; now I trust a figure only when two independent paths produce it, which is why the dashboard subtracts the R output from itself in front of the user.</w:t>
      </w:r>
    </w:p>
    <w:p>
      <w:r>
        <w:rPr>
          <w:b w:val="0"/>
          <w:i w:val="0"/>
        </w:rPr>
        <w:t>What I would improve: I left reconciliation until the dashboard existed. Writing the check first would have caught drift while it was still cheap.</w:t>
      </w:r>
    </w:p>
    <w:p>
      <w:pPr>
        <w:pStyle w:val="Heading1"/>
      </w:pPr>
      <w:r>
        <w:t>7. Reflections - Alexander Solomon (Person A) and Rudi Jan du Plessis (Person B)</w:t>
      </w:r>
    </w:p>
    <w:p>
      <w:r>
        <w:rPr>
          <w:b w:val="0"/>
          <w:i/>
        </w:rPr>
        <w:t>TO CONFIRM - each member writes 150 to 200 words on what worked, what surprised them, what changed across the milestones, what they learned and what they would improve, merged under their own name.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