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Dashboard and deployment</w:t>
      </w:r>
    </w:p>
    <w:p>
      <w:r>
        <w:rPr>
          <w:b w:val="0"/>
          <w:i w:val="0"/>
        </w:rPr>
        <w:t>Two things reached a user. A Power BI dashboard serves the programme manager deciding where to send limited field capacity: it describes the 20,925 surveyed households and lets the manager set the referral threshold against real capacity. An R/Shiny application serves the official assessing a household that was never surveyed, one at a time or in a batch, and shows why. Neither decides eligibility.</w:t>
      </w:r>
    </w:p>
    <w:p>
      <w:pPr>
        <w:pStyle w:val="Heading2"/>
      </w:pPr>
      <w:r>
        <w:t>5.1 The dashboard answers six decision questions</w:t>
      </w:r>
    </w:p>
    <w:p>
      <w:r>
        <w:rPr>
          <w:b w:val="0"/>
          <w:i w:val="0"/>
        </w:rPr>
        <w:t>Because the brief warns against showing every variable, the decision questions were written first and each of the first six pages is titled with the one it answers; three further pages carry the evidence behind them. The two first-iteration dashboards were merged into one report on the final analytical dataset, the Milestone 1 file contributing its layout and its geographic, household and data-lineage pages, rebuilt on tables that live in the repository, and the Milestone 4 file the performance, subgroup and driver pages.</w:t>
      </w:r>
    </w:p>
    <w:tbl>
      <w:tblPr>
        <w:tblStyle w:val="TableGrid"/>
        <w:tblW w:type="auto" w:w="0"/>
        <w:tblLook w:firstColumn="1" w:firstRow="1" w:lastColumn="0" w:lastRow="0" w:noHBand="0" w:noVBand="1" w:val="04A0"/>
      </w:tblPr>
      <w:tblGrid>
        <w:gridCol w:w="3009"/>
        <w:gridCol w:w="3009"/>
        <w:gridCol w:w="3009"/>
      </w:tblGrid>
      <w:tr>
        <w:tc>
          <w:tcPr>
            <w:tcW w:type="dxa" w:w="2721"/>
          </w:tcPr>
          <w:p>
            <w:pPr>
              <w:spacing w:after="0"/>
            </w:pPr>
            <w:r/>
            <w:r>
              <w:rPr>
                <w:b/>
                <w:sz w:val="16"/>
              </w:rPr>
              <w:t>Decision question</w:t>
            </w:r>
          </w:p>
        </w:tc>
        <w:tc>
          <w:tcPr>
            <w:tcW w:type="dxa" w:w="1644"/>
          </w:tcPr>
          <w:p>
            <w:pPr>
              <w:spacing w:after="0"/>
            </w:pPr>
            <w:r/>
            <w:r>
              <w:rPr>
                <w:b/>
                <w:sz w:val="16"/>
              </w:rPr>
              <w:t>Page</w:t>
            </w:r>
          </w:p>
        </w:tc>
        <w:tc>
          <w:tcPr>
            <w:tcW w:type="dxa" w:w="4422"/>
          </w:tcPr>
          <w:p>
            <w:pPr>
              <w:spacing w:after="0"/>
            </w:pPr>
            <w:r/>
            <w:r>
              <w:rPr>
                <w:b/>
                <w:sz w:val="16"/>
              </w:rPr>
              <w:t>What the dashboard shows</w:t>
            </w:r>
          </w:p>
        </w:tc>
      </w:tr>
      <w:tr>
        <w:tc>
          <w:tcPr>
            <w:tcW w:type="dxa" w:w="2721"/>
          </w:tcPr>
          <w:p>
            <w:pPr>
              <w:spacing w:after="0"/>
            </w:pPr>
            <w:r/>
            <w:r>
              <w:rPr>
                <w:sz w:val="16"/>
              </w:rPr>
              <w:t>1. Where is food insecurity concentrated?</w:t>
            </w:r>
          </w:p>
        </w:tc>
        <w:tc>
          <w:tcPr>
            <w:tcW w:type="dxa" w:w="1644"/>
          </w:tcPr>
          <w:p>
            <w:pPr>
              <w:spacing w:after="0"/>
            </w:pPr>
            <w:r/>
            <w:r>
              <w:rPr>
                <w:sz w:val="16"/>
              </w:rPr>
              <w:t>Where the need is</w:t>
            </w:r>
          </w:p>
        </w:tc>
        <w:tc>
          <w:tcPr>
            <w:tcW w:type="dxa" w:w="4422"/>
          </w:tcPr>
          <w:p>
            <w:pPr>
              <w:spacing w:after="0"/>
            </w:pPr>
            <w:r/>
            <w:r>
              <w:rPr>
                <w:sz w:val="16"/>
              </w:rPr>
              <w:t>Eastern Cape worst at 43.0%, Limpopo lowest at 13.1%; traditional and tribal areas 35.1%. Drills into settlement type.</w:t>
            </w:r>
          </w:p>
        </w:tc>
      </w:tr>
      <w:tr>
        <w:tc>
          <w:tcPr>
            <w:tcW w:type="dxa" w:w="2721"/>
          </w:tcPr>
          <w:p>
            <w:pPr>
              <w:spacing w:after="0"/>
            </w:pPr>
            <w:r/>
            <w:r>
              <w:rPr>
                <w:sz w:val="16"/>
              </w:rPr>
              <w:t>2. Which kinds of household are most affected?</w:t>
            </w:r>
          </w:p>
        </w:tc>
        <w:tc>
          <w:tcPr>
            <w:tcW w:type="dxa" w:w="1644"/>
          </w:tcPr>
          <w:p>
            <w:pPr>
              <w:spacing w:after="0"/>
            </w:pPr>
            <w:r/>
            <w:r>
              <w:rPr>
                <w:sz w:val="16"/>
              </w:rPr>
              <w:t>Who is affected</w:t>
            </w:r>
          </w:p>
        </w:tc>
        <w:tc>
          <w:tcPr>
            <w:tcW w:type="dxa" w:w="4422"/>
          </w:tcPr>
          <w:p>
            <w:pPr>
              <w:spacing w:after="0"/>
            </w:pPr>
            <w:r/>
            <w:r>
              <w:rPr>
                <w:sz w:val="16"/>
              </w:rPr>
              <w:t>Risk falls from 42.9% below R2,500 a month to 11.5% above R11,500, and rises with household size, grant receipt and no electricity.</w:t>
            </w:r>
          </w:p>
        </w:tc>
      </w:tr>
      <w:tr>
        <w:tc>
          <w:tcPr>
            <w:tcW w:type="dxa" w:w="2721"/>
          </w:tcPr>
          <w:p>
            <w:pPr>
              <w:spacing w:after="0"/>
            </w:pPr>
            <w:r/>
            <w:r>
              <w:rPr>
                <w:sz w:val="16"/>
              </w:rPr>
              <w:t>3. Can we trust the screening tool enough to act on it?</w:t>
            </w:r>
          </w:p>
        </w:tc>
        <w:tc>
          <w:tcPr>
            <w:tcW w:type="dxa" w:w="1644"/>
          </w:tcPr>
          <w:p>
            <w:pPr>
              <w:spacing w:after="0"/>
            </w:pPr>
            <w:r/>
            <w:r>
              <w:rPr>
                <w:sz w:val="16"/>
              </w:rPr>
              <w:t>How well the screen works</w:t>
            </w:r>
          </w:p>
        </w:tc>
        <w:tc>
          <w:tcPr>
            <w:tcW w:type="dxa" w:w="4422"/>
          </w:tcPr>
          <w:p>
            <w:pPr>
              <w:spacing w:after="0"/>
            </w:pPr>
            <w:r/>
            <w:r>
              <w:rPr>
                <w:sz w:val="16"/>
              </w:rPr>
              <w:t>On 6,279 held-out households it finds 80.7% of at-risk households and 85.7% of the severely insecure, at 41.9% precision, ROC-AUC 0.736.</w:t>
            </w:r>
          </w:p>
        </w:tc>
      </w:tr>
      <w:tr>
        <w:tc>
          <w:tcPr>
            <w:tcW w:type="dxa" w:w="2721"/>
          </w:tcPr>
          <w:p>
            <w:pPr>
              <w:spacing w:after="0"/>
            </w:pPr>
            <w:r/>
            <w:r>
              <w:rPr>
                <w:sz w:val="16"/>
              </w:rPr>
              <w:t>4. Which households does the screen miss, and where?</w:t>
            </w:r>
          </w:p>
        </w:tc>
        <w:tc>
          <w:tcPr>
            <w:tcW w:type="dxa" w:w="1644"/>
          </w:tcPr>
          <w:p>
            <w:pPr>
              <w:spacing w:after="0"/>
            </w:pPr>
            <w:r/>
            <w:r>
              <w:rPr>
                <w:sz w:val="16"/>
              </w:rPr>
              <w:t>Who the screen misses</w:t>
            </w:r>
          </w:p>
        </w:tc>
        <w:tc>
          <w:tcPr>
            <w:tcW w:type="dxa" w:w="4422"/>
          </w:tcPr>
          <w:p>
            <w:pPr>
              <w:spacing w:after="0"/>
            </w:pPr>
            <w:r/>
            <w:r>
              <w:rPr>
                <w:sz w:val="16"/>
              </w:rPr>
              <w:t>4 of 22 subgroups fall outside a 10-point tolerance band; weakest above R11,500 (39.2%) and with no grants (61.7%).</w:t>
            </w:r>
          </w:p>
        </w:tc>
      </w:tr>
      <w:tr>
        <w:tc>
          <w:tcPr>
            <w:tcW w:type="dxa" w:w="2721"/>
          </w:tcPr>
          <w:p>
            <w:pPr>
              <w:spacing w:after="0"/>
            </w:pPr>
            <w:r/>
            <w:r>
              <w:rPr>
                <w:sz w:val="16"/>
              </w:rPr>
              <w:t>5. What should we ask about to spot risk early?</w:t>
            </w:r>
          </w:p>
        </w:tc>
        <w:tc>
          <w:tcPr>
            <w:tcW w:type="dxa" w:w="1644"/>
          </w:tcPr>
          <w:p>
            <w:pPr>
              <w:spacing w:after="0"/>
            </w:pPr>
            <w:r/>
            <w:r>
              <w:rPr>
                <w:sz w:val="16"/>
              </w:rPr>
              <w:t>What drives risk</w:t>
            </w:r>
          </w:p>
        </w:tc>
        <w:tc>
          <w:tcPr>
            <w:tcW w:type="dxa" w:w="4422"/>
          </w:tcPr>
          <w:p>
            <w:pPr>
              <w:spacing w:after="0"/>
            </w:pPr>
            <w:r/>
            <w:r>
              <w:rPr>
                <w:sz w:val="16"/>
              </w:rPr>
              <w:t>Income change against a year ago carries most of the signal; no electricity roughly doubles the odds.</w:t>
            </w:r>
          </w:p>
        </w:tc>
      </w:tr>
      <w:tr>
        <w:tc>
          <w:tcPr>
            <w:tcW w:type="dxa" w:w="2721"/>
          </w:tcPr>
          <w:p>
            <w:pPr>
              <w:spacing w:after="0"/>
            </w:pPr>
            <w:r/>
            <w:r>
              <w:rPr>
                <w:sz w:val="16"/>
              </w:rPr>
              <w:t>6. How many households would a given threshold refer?</w:t>
            </w:r>
          </w:p>
        </w:tc>
        <w:tc>
          <w:tcPr>
            <w:tcW w:type="dxa" w:w="1644"/>
          </w:tcPr>
          <w:p>
            <w:pPr>
              <w:spacing w:after="0"/>
            </w:pPr>
            <w:r/>
            <w:r>
              <w:rPr>
                <w:sz w:val="16"/>
              </w:rPr>
              <w:t>How well the screen works</w:t>
            </w:r>
          </w:p>
        </w:tc>
        <w:tc>
          <w:tcPr>
            <w:tcW w:type="dxa" w:w="4422"/>
          </w:tcPr>
          <w:p>
            <w:pPr>
              <w:spacing w:after="0"/>
            </w:pPr>
            <w:r/>
            <w:r>
              <w:rPr>
                <w:sz w:val="16"/>
              </w:rPr>
              <w:t>A slider moves all three together: 95.9% recall at 83.8% referred (0.14) down to 47.4% at 26.2% (0.40).</w:t>
            </w:r>
          </w:p>
        </w:tc>
      </w:tr>
    </w:tbl>
    <w:p>
      <w:pPr>
        <w:spacing w:after="80"/>
      </w:pPr>
    </w:p>
    <w:p>
      <w:pPr>
        <w:spacing w:after="160"/>
      </w:pPr>
      <w:r>
        <w:rPr>
          <w:i/>
          <w:sz w:val="18"/>
        </w:rPr>
        <w:t>Table 5.1 The six decision questions, the page answering each, and the answer.</w:t>
      </w:r>
    </w:p>
    <w:p>
      <w:pPr>
        <w:spacing w:after="40"/>
        <w:jc w:val="center"/>
      </w:pPr>
      <w:r>
        <w:rPr>
          <w:i/>
          <w:color w:val="808080"/>
          <w:sz w:val="18"/>
        </w:rPr>
        <w:t>[Figures 5.1 and 5.2 — pbi_m4_1_overview.png and pbi_m4_4_performance.png, side by side at about 7.5 cm wide each]</w:t>
      </w:r>
    </w:p>
    <w:p>
      <w:pPr>
        <w:spacing w:after="160"/>
      </w:pPr>
      <w:r>
        <w:rPr>
          <w:i/>
          <w:sz w:val="18"/>
        </w:rPr>
        <w:t>Figures 5.1-5.2 The landing page, and test-set performance with the threshold what-if.</w:t>
      </w:r>
    </w:p>
    <w:p>
      <w:r>
        <w:rPr>
          <w:b w:val="0"/>
          <w:i w:val="0"/>
        </w:rPr>
        <w:t>Four slicers sit in the same position on every household page, every axis is labelled, and no household identifier appears anywhere: the export carries a row number instead. Every page states that this is a screening aid, not an eligibility test. Three further pages carry the evidence: the ten extracts profiled and the seven selected, the 115 data-quality problems found and how each was treated, and the reconciliation in 5.2 below.</w:t>
      </w:r>
    </w:p>
    <w:p>
      <w:pPr>
        <w:pStyle w:val="Heading2"/>
      </w:pPr>
      <w:r>
        <w:t>5.2 Every dashboard figure reconciles with the analysis</w:t>
      </w:r>
    </w:p>
    <w:p>
      <w:r>
        <w:rPr>
          <w:b w:val="0"/>
          <w:i w:val="0"/>
        </w:rPr>
        <w:t>The dashboard recomputes each percentage from the household rows; the R pipeline writes the same percentages independently. A reconciliation page subtracts the two, and all nine provinces, three settlement types and five income bands agree to 0.0 percentage points, nationally at 28.3% at risk, 18.6% severe and 59.2% referred. The what-if panel at the deployed threshold reproduces the headline cards exactly. One distinction is kept visible: 58.9% is the referral rate on the test set, used for every performance claim, while 59.2% is the rate across all 20,925 modelled households, used on the prevalence pages. A build-time check fails if they are swapped.</w:t>
      </w:r>
    </w:p>
    <w:p>
      <w:pPr>
        <w:pStyle w:val="Heading2"/>
      </w:pPr>
      <w:r>
        <w:t>5.3 The deployed path: validate, clean, preprocess, score</w:t>
      </w:r>
    </w:p>
    <w:p>
      <w:r>
        <w:rPr>
          <w:b w:val="0"/>
          <w:i w:val="0"/>
        </w:rPr>
        <w:t>The application serves the same workflow object that was evaluated, at the same threshold of 0.24; both are asserted in code rather than assumed. A typed household and a CSV upload follow one path:</w:t>
      </w:r>
    </w:p>
    <w:p>
      <w:pPr>
        <w:pStyle w:val="ListBullet"/>
        <w:spacing w:after="80"/>
      </w:pPr>
      <w:r>
        <w:t>Validate — the seven inputs must be present, every column is read as text so long household identifiers keep their precision, the eight food-insecurity items are discarded if present (the leakage rule, enforced at the door), and duplicates are flagged.</w:t>
      </w:r>
    </w:p>
    <w:p>
      <w:pPr>
        <w:pStyle w:val="ListBullet"/>
        <w:spacing w:after="80"/>
      </w:pPr>
      <w:r>
        <w:t>Clean — the Milestone 2 rules, column by column: sentinels and text tokens become missing, and unseen codes, impossible values and rows missing more than two inputs are left unscored rather than guessed.</w:t>
      </w:r>
    </w:p>
    <w:p>
      <w:pPr>
        <w:pStyle w:val="ListBullet"/>
        <w:spacing w:after="80"/>
      </w:pPr>
      <w:r>
        <w:t>Preprocess — raw codes become the training features (labelled factors, log income, income per person), then the recipe imputes, encodes and scales using training values only.</w:t>
      </w:r>
    </w:p>
    <w:p>
      <w:pPr>
        <w:pStyle w:val="ListBullet"/>
        <w:spacing w:after="80"/>
      </w:pPr>
      <w:r>
        <w:t>Score — a probability, the words "Higher risk: refer for review" at or above the threshold, and the three inputs that moved it most.</w:t>
      </w:r>
    </w:p>
    <w:p>
      <w:r>
        <w:rPr>
          <w:b w:val="0"/>
          <w:i w:val="0"/>
        </w:rPr>
        <w:t>Bad input is a tested case: a 13-row file of deliberately malformed households exercises every rule. Pushing all 6,279 test households back through the app's own path reproduces the saved predictions with a largest difference of zero, so the app, the notebook and the report quote one set of numbers.</w:t>
      </w:r>
    </w:p>
    <w:p>
      <w:pPr>
        <w:pStyle w:val="Heading2"/>
      </w:pPr>
      <w:r>
        <w:t>5.4 Monitoring and retraining triggers</w:t>
      </w:r>
    </w:p>
    <w:p>
      <w:r>
        <w:rPr>
          <w:b w:val="0"/>
          <w:i w:val="0"/>
        </w:rPr>
        <w:t>The outcome is only observed when Stats SA releases a new survey, so between releases the application monitors its inputs and outputs. Each upload appends one row of totals, never household rows, and a monthly review applies the thresholds below.</w:t>
      </w:r>
    </w:p>
    <w:tbl>
      <w:tblPr>
        <w:tblStyle w:val="TableGrid"/>
        <w:tblW w:type="auto" w:w="0"/>
        <w:tblLook w:firstColumn="1" w:firstRow="1" w:lastColumn="0" w:lastRow="0" w:noHBand="0" w:noVBand="1" w:val="04A0"/>
      </w:tblPr>
      <w:tblGrid>
        <w:gridCol w:w="3009"/>
        <w:gridCol w:w="3009"/>
        <w:gridCol w:w="3009"/>
      </w:tblGrid>
      <w:tr>
        <w:tc>
          <w:tcPr>
            <w:tcW w:type="dxa" w:w="3969"/>
          </w:tcPr>
          <w:p>
            <w:pPr>
              <w:spacing w:after="0"/>
            </w:pPr>
            <w:r/>
            <w:r>
              <w:rPr>
                <w:b/>
                <w:sz w:val="18"/>
              </w:rPr>
              <w:t>Signal</w:t>
            </w:r>
          </w:p>
        </w:tc>
        <w:tc>
          <w:tcPr>
            <w:tcW w:type="dxa" w:w="2438"/>
          </w:tcPr>
          <w:p>
            <w:pPr>
              <w:spacing w:after="0"/>
            </w:pPr>
            <w:r/>
            <w:r>
              <w:rPr>
                <w:b/>
                <w:sz w:val="18"/>
              </w:rPr>
              <w:t>Baseline</w:t>
            </w:r>
          </w:p>
        </w:tc>
        <w:tc>
          <w:tcPr>
            <w:tcW w:type="dxa" w:w="2381"/>
          </w:tcPr>
          <w:p>
            <w:pPr>
              <w:spacing w:after="0"/>
            </w:pPr>
            <w:r/>
            <w:r>
              <w:rPr>
                <w:b/>
                <w:sz w:val="18"/>
              </w:rPr>
              <w:t>Alert</w:t>
            </w:r>
          </w:p>
        </w:tc>
      </w:tr>
      <w:tr>
        <w:tc>
          <w:tcPr>
            <w:tcW w:type="dxa" w:w="3969"/>
          </w:tcPr>
          <w:p>
            <w:pPr>
              <w:spacing w:after="0"/>
            </w:pPr>
            <w:r/>
            <w:r>
              <w:rPr>
                <w:sz w:val="18"/>
              </w:rPr>
              <w:t>Input drift in income, settlement type, household size</w:t>
            </w:r>
          </w:p>
        </w:tc>
        <w:tc>
          <w:tcPr>
            <w:tcW w:type="dxa" w:w="2438"/>
          </w:tcPr>
          <w:p>
            <w:pPr>
              <w:spacing w:after="0"/>
            </w:pPr>
            <w:r/>
            <w:r>
              <w:rPr>
                <w:sz w:val="18"/>
              </w:rPr>
              <w:t>PSI 0</w:t>
            </w:r>
          </w:p>
        </w:tc>
        <w:tc>
          <w:tcPr>
            <w:tcW w:type="dxa" w:w="2381"/>
          </w:tcPr>
          <w:p>
            <w:pPr>
              <w:spacing w:after="0"/>
            </w:pPr>
            <w:r/>
            <w:r>
              <w:rPr>
                <w:sz w:val="18"/>
              </w:rPr>
              <w:t>0.10 to 0.25 watch; above 0.25 act</w:t>
            </w:r>
          </w:p>
        </w:tc>
      </w:tr>
      <w:tr>
        <w:tc>
          <w:tcPr>
            <w:tcW w:type="dxa" w:w="3969"/>
          </w:tcPr>
          <w:p>
            <w:pPr>
              <w:spacing w:after="0"/>
            </w:pPr>
            <w:r/>
            <w:r>
              <w:rPr>
                <w:sz w:val="18"/>
              </w:rPr>
              <w:t>Missing income</w:t>
            </w:r>
          </w:p>
        </w:tc>
        <w:tc>
          <w:tcPr>
            <w:tcW w:type="dxa" w:w="2438"/>
          </w:tcPr>
          <w:p>
            <w:pPr>
              <w:spacing w:after="0"/>
            </w:pPr>
            <w:r/>
            <w:r>
              <w:rPr>
                <w:sz w:val="18"/>
              </w:rPr>
              <w:t>2.2% at integration</w:t>
            </w:r>
          </w:p>
        </w:tc>
        <w:tc>
          <w:tcPr>
            <w:tcW w:type="dxa" w:w="2381"/>
          </w:tcPr>
          <w:p>
            <w:pPr>
              <w:spacing w:after="0"/>
            </w:pPr>
            <w:r/>
            <w:r>
              <w:rPr>
                <w:sz w:val="18"/>
              </w:rPr>
              <w:t>above 5%</w:t>
            </w:r>
          </w:p>
        </w:tc>
      </w:tr>
      <w:tr>
        <w:tc>
          <w:tcPr>
            <w:tcW w:type="dxa" w:w="3969"/>
          </w:tcPr>
          <w:p>
            <w:pPr>
              <w:spacing w:after="0"/>
            </w:pPr>
            <w:r/>
            <w:r>
              <w:rPr>
                <w:sz w:val="18"/>
              </w:rPr>
              <w:t>Rows not scored</w:t>
            </w:r>
          </w:p>
        </w:tc>
        <w:tc>
          <w:tcPr>
            <w:tcW w:type="dxa" w:w="2438"/>
          </w:tcPr>
          <w:p>
            <w:pPr>
              <w:spacing w:after="0"/>
            </w:pPr>
            <w:r/>
            <w:r>
              <w:rPr>
                <w:sz w:val="18"/>
              </w:rPr>
              <w:t>0% of test rows</w:t>
            </w:r>
          </w:p>
        </w:tc>
        <w:tc>
          <w:tcPr>
            <w:tcW w:type="dxa" w:w="2381"/>
          </w:tcPr>
          <w:p>
            <w:pPr>
              <w:spacing w:after="0"/>
            </w:pPr>
            <w:r/>
            <w:r>
              <w:rPr>
                <w:sz w:val="18"/>
              </w:rPr>
              <w:t>above 5%</w:t>
            </w:r>
          </w:p>
        </w:tc>
      </w:tr>
      <w:tr>
        <w:tc>
          <w:tcPr>
            <w:tcW w:type="dxa" w:w="3969"/>
          </w:tcPr>
          <w:p>
            <w:pPr>
              <w:spacing w:after="0"/>
            </w:pPr>
            <w:r/>
            <w:r>
              <w:rPr>
                <w:sz w:val="18"/>
              </w:rPr>
              <w:t>Share referred</w:t>
            </w:r>
          </w:p>
        </w:tc>
        <w:tc>
          <w:tcPr>
            <w:tcW w:type="dxa" w:w="2438"/>
          </w:tcPr>
          <w:p>
            <w:pPr>
              <w:spacing w:after="0"/>
            </w:pPr>
            <w:r/>
            <w:r>
              <w:rPr>
                <w:sz w:val="18"/>
              </w:rPr>
              <w:t>58.9%</w:t>
            </w:r>
          </w:p>
        </w:tc>
        <w:tc>
          <w:tcPr>
            <w:tcW w:type="dxa" w:w="2381"/>
          </w:tcPr>
          <w:p>
            <w:pPr>
              <w:spacing w:after="0"/>
            </w:pPr>
            <w:r/>
            <w:r>
              <w:rPr>
                <w:sz w:val="18"/>
              </w:rPr>
              <w:t>more than 10 points either way</w:t>
            </w:r>
          </w:p>
        </w:tc>
      </w:tr>
      <w:tr>
        <w:tc>
          <w:tcPr>
            <w:tcW w:type="dxa" w:w="3969"/>
          </w:tcPr>
          <w:p>
            <w:pPr>
              <w:spacing w:after="0"/>
            </w:pPr>
            <w:r/>
            <w:r>
              <w:rPr>
                <w:sz w:val="18"/>
              </w:rPr>
              <w:t>Recall, at each survey release</w:t>
            </w:r>
          </w:p>
        </w:tc>
        <w:tc>
          <w:tcPr>
            <w:tcW w:type="dxa" w:w="2438"/>
          </w:tcPr>
          <w:p>
            <w:pPr>
              <w:spacing w:after="0"/>
            </w:pPr>
            <w:r/>
            <w:r>
              <w:rPr>
                <w:sz w:val="18"/>
              </w:rPr>
              <w:t>0.807</w:t>
            </w:r>
          </w:p>
        </w:tc>
        <w:tc>
          <w:tcPr>
            <w:tcW w:type="dxa" w:w="2381"/>
          </w:tcPr>
          <w:p>
            <w:pPr>
              <w:spacing w:after="0"/>
            </w:pPr>
            <w:r/>
            <w:r>
              <w:rPr>
                <w:sz w:val="18"/>
              </w:rPr>
              <w:t>below 0.707</w:t>
            </w:r>
          </w:p>
        </w:tc>
      </w:tr>
      <w:tr>
        <w:tc>
          <w:tcPr>
            <w:tcW w:type="dxa" w:w="3969"/>
          </w:tcPr>
          <w:p>
            <w:pPr>
              <w:spacing w:after="0"/>
            </w:pPr>
            <w:r/>
            <w:r>
              <w:rPr>
                <w:sz w:val="18"/>
              </w:rPr>
              <w:t>Calibration, at each survey release</w:t>
            </w:r>
          </w:p>
        </w:tc>
        <w:tc>
          <w:tcPr>
            <w:tcW w:type="dxa" w:w="2438"/>
          </w:tcPr>
          <w:p>
            <w:pPr>
              <w:spacing w:after="0"/>
            </w:pPr>
            <w:r/>
            <w:r>
              <w:rPr>
                <w:sz w:val="18"/>
              </w:rPr>
              <w:t>Brier 0.180</w:t>
            </w:r>
          </w:p>
        </w:tc>
        <w:tc>
          <w:tcPr>
            <w:tcW w:type="dxa" w:w="2381"/>
          </w:tcPr>
          <w:p>
            <w:pPr>
              <w:spacing w:after="0"/>
            </w:pPr>
            <w:r/>
            <w:r>
              <w:rPr>
                <w:sz w:val="18"/>
              </w:rPr>
              <w:t>clearly worse</w:t>
            </w:r>
          </w:p>
        </w:tc>
      </w:tr>
      <w:tr>
        <w:tc>
          <w:tcPr>
            <w:tcW w:type="dxa" w:w="3969"/>
          </w:tcPr>
          <w:p>
            <w:pPr>
              <w:spacing w:after="0"/>
            </w:pPr>
            <w:r/>
            <w:r>
              <w:rPr>
                <w:sz w:val="18"/>
              </w:rPr>
              <w:t>Subgroup recall, at each survey release</w:t>
            </w:r>
          </w:p>
        </w:tc>
        <w:tc>
          <w:tcPr>
            <w:tcW w:type="dxa" w:w="2438"/>
          </w:tcPr>
          <w:p>
            <w:pPr>
              <w:spacing w:after="0"/>
            </w:pPr>
            <w:r/>
            <w:r>
              <w:rPr>
                <w:sz w:val="18"/>
              </w:rPr>
              <w:t>the subgroup table</w:t>
            </w:r>
          </w:p>
        </w:tc>
        <w:tc>
          <w:tcPr>
            <w:tcW w:type="dxa" w:w="2381"/>
          </w:tcPr>
          <w:p>
            <w:pPr>
              <w:spacing w:after="0"/>
            </w:pPr>
            <w:r/>
            <w:r>
              <w:rPr>
                <w:sz w:val="18"/>
              </w:rPr>
              <w:t>gap above 10 points</w:t>
            </w:r>
          </w:p>
        </w:tc>
      </w:tr>
    </w:tbl>
    <w:p>
      <w:pPr>
        <w:spacing w:after="80"/>
      </w:pPr>
    </w:p>
    <w:p>
      <w:pPr>
        <w:spacing w:after="160"/>
      </w:pPr>
      <w:r>
        <w:rPr>
          <w:i/>
          <w:sz w:val="18"/>
        </w:rPr>
        <w:t>Table 5.2 Monitoring thresholds, each tied to the test-set baseline.</w:t>
      </w:r>
    </w:p>
    <w:p>
      <w:r>
        <w:rPr>
          <w:b w:val="0"/>
          <w:i w:val="0"/>
        </w:rPr>
        <w:t>A simulated shift makes the first row concrete: raising nominal incomes by 25%, roughly five years of inflation, drops the share referred from 59.8% to 51.9% with no change in real need. That is the failure mode this screen is most exposed to, because income enters the model in rands. Retrain when any alert fires, when the survey changes one of the eight predictor items, or annually at each release; retire the tool if recall for any group above 500 households falls below 0.65. Rollback is by model version, recorded with the test metrics that version achieved.</w:t>
      </w:r>
    </w:p>
    <w:p>
      <w:pPr>
        <w:pStyle w:val="Heading1"/>
      </w:pPr>
      <w:r>
        <w:t>7. Ethics and responsible AI</w:t>
      </w:r>
    </w:p>
    <w:p>
      <w:r>
        <w:rPr>
          <w:b w:val="0"/>
          <w:i w:val="0"/>
        </w:rPr>
        <w:t>The brief asks for ethics across the lifecycle rather than as a closing paragraph. Table 7.1 records where each issue was dealt with; the paragraphs below give the three that shaped the result.</w:t>
      </w:r>
    </w:p>
    <w:tbl>
      <w:tblPr>
        <w:tblStyle w:val="TableGrid"/>
        <w:tblW w:type="auto" w:w="0"/>
        <w:tblLook w:firstColumn="1" w:firstRow="1" w:lastColumn="0" w:lastRow="0" w:noHBand="0" w:noVBand="1" w:val="04A0"/>
      </w:tblPr>
      <w:tblGrid>
        <w:gridCol w:w="3009"/>
        <w:gridCol w:w="3009"/>
        <w:gridCol w:w="3009"/>
      </w:tblGrid>
      <w:tr>
        <w:tc>
          <w:tcPr>
            <w:tcW w:type="dxa" w:w="1814"/>
          </w:tcPr>
          <w:p>
            <w:pPr>
              <w:spacing w:after="0"/>
            </w:pPr>
            <w:r/>
            <w:r>
              <w:rPr>
                <w:b/>
                <w:sz w:val="16"/>
              </w:rPr>
              <w:t>CRISP-DM phase</w:t>
            </w:r>
          </w:p>
        </w:tc>
        <w:tc>
          <w:tcPr>
            <w:tcW w:type="dxa" w:w="2438"/>
          </w:tcPr>
          <w:p>
            <w:pPr>
              <w:spacing w:after="0"/>
            </w:pPr>
            <w:r/>
            <w:r>
              <w:rPr>
                <w:b/>
                <w:sz w:val="16"/>
              </w:rPr>
              <w:t>Issue</w:t>
            </w:r>
          </w:p>
        </w:tc>
        <w:tc>
          <w:tcPr>
            <w:tcW w:type="dxa" w:w="4535"/>
          </w:tcPr>
          <w:p>
            <w:pPr>
              <w:spacing w:after="0"/>
            </w:pPr>
            <w:r/>
            <w:r>
              <w:rPr>
                <w:b/>
                <w:sz w:val="16"/>
              </w:rPr>
              <w:t>What was done</w:t>
            </w:r>
          </w:p>
        </w:tc>
      </w:tr>
      <w:tr>
        <w:tc>
          <w:tcPr>
            <w:tcW w:type="dxa" w:w="1814"/>
          </w:tcPr>
          <w:p>
            <w:pPr>
              <w:spacing w:after="0"/>
            </w:pPr>
            <w:r/>
            <w:r>
              <w:rPr>
                <w:sz w:val="16"/>
              </w:rPr>
              <w:t>Business understanding</w:t>
            </w:r>
          </w:p>
        </w:tc>
        <w:tc>
          <w:tcPr>
            <w:tcW w:type="dxa" w:w="2438"/>
          </w:tcPr>
          <w:p>
            <w:pPr>
              <w:spacing w:after="0"/>
            </w:pPr>
            <w:r/>
            <w:r>
              <w:rPr>
                <w:sz w:val="16"/>
              </w:rPr>
              <w:t>Could be read as an eligibility test</w:t>
            </w:r>
          </w:p>
        </w:tc>
        <w:tc>
          <w:tcPr>
            <w:tcW w:type="dxa" w:w="4535"/>
          </w:tcPr>
          <w:p>
            <w:pPr>
              <w:spacing w:after="0"/>
            </w:pPr>
            <w:r/>
            <w:r>
              <w:rPr>
                <w:sz w:val="16"/>
              </w:rPr>
              <w:t>Scope fixed as screening and prioritisation; an official reviews every higher-risk result, and the caveat appears on every page, result and download</w:t>
            </w:r>
          </w:p>
        </w:tc>
      </w:tr>
      <w:tr>
        <w:tc>
          <w:tcPr>
            <w:tcW w:type="dxa" w:w="1814"/>
          </w:tcPr>
          <w:p>
            <w:pPr>
              <w:spacing w:after="0"/>
            </w:pPr>
            <w:r/>
            <w:r>
              <w:rPr>
                <w:sz w:val="16"/>
              </w:rPr>
              <w:t>Data understanding</w:t>
            </w:r>
          </w:p>
        </w:tc>
        <w:tc>
          <w:tcPr>
            <w:tcW w:type="dxa" w:w="2438"/>
          </w:tcPr>
          <w:p>
            <w:pPr>
              <w:spacing w:after="0"/>
            </w:pPr>
            <w:r/>
            <w:r>
              <w:rPr>
                <w:sz w:val="16"/>
              </w:rPr>
              <w:t>Survey data about identifiable households</w:t>
            </w:r>
          </w:p>
        </w:tc>
        <w:tc>
          <w:tcPr>
            <w:tcW w:type="dxa" w:w="4535"/>
          </w:tcPr>
          <w:p>
            <w:pPr>
              <w:spacing w:after="0"/>
            </w:pPr>
            <w:r/>
            <w:r>
              <w:rPr>
                <w:sz w:val="16"/>
              </w:rPr>
              <w:t>Seven predictor fields only; identifiers never displayed or returned</w:t>
            </w:r>
          </w:p>
        </w:tc>
      </w:tr>
      <w:tr>
        <w:tc>
          <w:tcPr>
            <w:tcW w:type="dxa" w:w="1814"/>
          </w:tcPr>
          <w:p>
            <w:pPr>
              <w:spacing w:after="0"/>
            </w:pPr>
            <w:r/>
            <w:r>
              <w:rPr>
                <w:sz w:val="16"/>
              </w:rPr>
              <w:t>Data preparation</w:t>
            </w:r>
          </w:p>
        </w:tc>
        <w:tc>
          <w:tcPr>
            <w:tcW w:type="dxa" w:w="2438"/>
          </w:tcPr>
          <w:p>
            <w:pPr>
              <w:spacing w:after="0"/>
            </w:pPr>
            <w:r/>
            <w:r>
              <w:rPr>
                <w:sz w:val="16"/>
              </w:rPr>
              <w:t>The eight food-insecurity items define the target</w:t>
            </w:r>
          </w:p>
        </w:tc>
        <w:tc>
          <w:tcPr>
            <w:tcW w:type="dxa" w:w="4535"/>
          </w:tcPr>
          <w:p>
            <w:pPr>
              <w:spacing w:after="0"/>
            </w:pPr>
            <w:r/>
            <w:r>
              <w:rPr>
                <w:sz w:val="16"/>
              </w:rPr>
              <w:t>Excluded from the predictors and asserted in code at every stage, including in the upload validator</w:t>
            </w:r>
          </w:p>
        </w:tc>
      </w:tr>
      <w:tr>
        <w:tc>
          <w:tcPr>
            <w:tcW w:type="dxa" w:w="1814"/>
          </w:tcPr>
          <w:p>
            <w:pPr>
              <w:spacing w:after="0"/>
            </w:pPr>
            <w:r/>
            <w:r>
              <w:rPr>
                <w:sz w:val="16"/>
              </w:rPr>
              <w:t>Modelling</w:t>
            </w:r>
          </w:p>
        </w:tc>
        <w:tc>
          <w:tcPr>
            <w:tcW w:type="dxa" w:w="2438"/>
          </w:tcPr>
          <w:p>
            <w:pPr>
              <w:spacing w:after="0"/>
            </w:pPr>
            <w:r/>
            <w:r>
              <w:rPr>
                <w:sz w:val="16"/>
              </w:rPr>
              <w:t>Imbalance, and accuracy would flatter the model</w:t>
            </w:r>
          </w:p>
        </w:tc>
        <w:tc>
          <w:tcPr>
            <w:tcW w:type="dxa" w:w="4535"/>
          </w:tcPr>
          <w:p>
            <w:pPr>
              <w:spacing w:after="0"/>
            </w:pPr>
            <w:r/>
            <w:r>
              <w:rPr>
                <w:sz w:val="16"/>
              </w:rPr>
              <w:t>Stratified cross-validation; recall, precision, PR-AUC and calibration reported instead of accuracy</w:t>
            </w:r>
          </w:p>
        </w:tc>
      </w:tr>
      <w:tr>
        <w:tc>
          <w:tcPr>
            <w:tcW w:type="dxa" w:w="1814"/>
          </w:tcPr>
          <w:p>
            <w:pPr>
              <w:spacing w:after="0"/>
            </w:pPr>
            <w:r/>
            <w:r>
              <w:rPr>
                <w:sz w:val="16"/>
              </w:rPr>
              <w:t>Evaluation</w:t>
            </w:r>
          </w:p>
        </w:tc>
        <w:tc>
          <w:tcPr>
            <w:tcW w:type="dxa" w:w="2438"/>
          </w:tcPr>
          <w:p>
            <w:pPr>
              <w:spacing w:after="0"/>
            </w:pPr>
            <w:r/>
            <w:r>
              <w:rPr>
                <w:sz w:val="16"/>
              </w:rPr>
              <w:t>The best-scoring model was not the most suitable</w:t>
            </w:r>
          </w:p>
        </w:tc>
        <w:tc>
          <w:tcPr>
            <w:tcW w:type="dxa" w:w="4535"/>
          </w:tcPr>
          <w:p>
            <w:pPr>
              <w:spacing w:after="0"/>
            </w:pPr>
            <w:r/>
            <w:r>
              <w:rPr>
                <w:sz w:val="16"/>
              </w:rPr>
              <w:t>Interpretable logistic regression chosen over a marginally better random forest, with the trade-off stated</w:t>
            </w:r>
          </w:p>
        </w:tc>
      </w:tr>
      <w:tr>
        <w:tc>
          <w:tcPr>
            <w:tcW w:type="dxa" w:w="1814"/>
          </w:tcPr>
          <w:p>
            <w:pPr>
              <w:spacing w:after="0"/>
            </w:pPr>
            <w:r/>
            <w:r>
              <w:rPr>
                <w:sz w:val="16"/>
              </w:rPr>
              <w:t>Evaluation</w:t>
            </w:r>
          </w:p>
        </w:tc>
        <w:tc>
          <w:tcPr>
            <w:tcW w:type="dxa" w:w="2438"/>
          </w:tcPr>
          <w:p>
            <w:pPr>
              <w:spacing w:after="0"/>
            </w:pPr>
            <w:r/>
            <w:r>
              <w:rPr>
                <w:sz w:val="16"/>
              </w:rPr>
              <w:t>Unequal recall between groups</w:t>
            </w:r>
          </w:p>
        </w:tc>
        <w:tc>
          <w:tcPr>
            <w:tcW w:type="dxa" w:w="4535"/>
          </w:tcPr>
          <w:p>
            <w:pPr>
              <w:spacing w:after="0"/>
            </w:pPr>
            <w:r/>
            <w:r>
              <w:rPr>
                <w:sz w:val="16"/>
              </w:rPr>
              <w:t>Equal-opportunity criterion, 10-point tolerance fixed before results were seen; gaps disclosed, no group-specific thresholds</w:t>
            </w:r>
          </w:p>
        </w:tc>
      </w:tr>
      <w:tr>
        <w:tc>
          <w:tcPr>
            <w:tcW w:type="dxa" w:w="1814"/>
          </w:tcPr>
          <w:p>
            <w:pPr>
              <w:spacing w:after="0"/>
            </w:pPr>
            <w:r/>
            <w:r>
              <w:rPr>
                <w:sz w:val="16"/>
              </w:rPr>
              <w:t>Deployment</w:t>
            </w:r>
          </w:p>
        </w:tc>
        <w:tc>
          <w:tcPr>
            <w:tcW w:type="dxa" w:w="2438"/>
          </w:tcPr>
          <w:p>
            <w:pPr>
              <w:spacing w:after="0"/>
            </w:pPr>
            <w:r/>
            <w:r>
              <w:rPr>
                <w:sz w:val="16"/>
              </w:rPr>
              <w:t>Privacy of households scored in production</w:t>
            </w:r>
          </w:p>
        </w:tc>
        <w:tc>
          <w:tcPr>
            <w:tcW w:type="dxa" w:w="4535"/>
          </w:tcPr>
          <w:p>
            <w:pPr>
              <w:spacing w:after="0"/>
            </w:pPr>
            <w:r/>
            <w:r>
              <w:rPr>
                <w:sz w:val="16"/>
              </w:rPr>
              <w:t>Uploads processed in memory and not stored; monitoring keeps totals only; access behind sign-in</w:t>
            </w:r>
          </w:p>
        </w:tc>
      </w:tr>
      <w:tr>
        <w:tc>
          <w:tcPr>
            <w:tcW w:type="dxa" w:w="1814"/>
          </w:tcPr>
          <w:p>
            <w:pPr>
              <w:spacing w:after="0"/>
            </w:pPr>
            <w:r/>
            <w:r>
              <w:rPr>
                <w:sz w:val="16"/>
              </w:rPr>
              <w:t>Deployment</w:t>
            </w:r>
          </w:p>
        </w:tc>
        <w:tc>
          <w:tcPr>
            <w:tcW w:type="dxa" w:w="2438"/>
          </w:tcPr>
          <w:p>
            <w:pPr>
              <w:spacing w:after="0"/>
            </w:pPr>
            <w:r/>
            <w:r>
              <w:rPr>
                <w:sz w:val="16"/>
              </w:rPr>
              <w:t>Stigmatising labels</w:t>
            </w:r>
          </w:p>
        </w:tc>
        <w:tc>
          <w:tcPr>
            <w:tcW w:type="dxa" w:w="4535"/>
          </w:tcPr>
          <w:p>
            <w:pPr>
              <w:spacing w:after="0"/>
            </w:pPr>
            <w:r/>
            <w:r>
              <w:rPr>
                <w:sz w:val="16"/>
              </w:rPr>
              <w:t>The result reads "Higher risk: refer for review", never "food insecure"</w:t>
            </w:r>
          </w:p>
        </w:tc>
      </w:tr>
      <w:tr>
        <w:tc>
          <w:tcPr>
            <w:tcW w:type="dxa" w:w="1814"/>
          </w:tcPr>
          <w:p>
            <w:pPr>
              <w:spacing w:after="0"/>
            </w:pPr>
            <w:r/>
            <w:r>
              <w:rPr>
                <w:sz w:val="16"/>
              </w:rPr>
              <w:t>Monitoring</w:t>
            </w:r>
          </w:p>
        </w:tc>
        <w:tc>
          <w:tcPr>
            <w:tcW w:type="dxa" w:w="2438"/>
          </w:tcPr>
          <w:p>
            <w:pPr>
              <w:spacing w:after="0"/>
            </w:pPr>
            <w:r/>
            <w:r>
              <w:rPr>
                <w:sz w:val="16"/>
              </w:rPr>
              <w:t>Only referred households generate new labels</w:t>
            </w:r>
          </w:p>
        </w:tc>
        <w:tc>
          <w:tcPr>
            <w:tcW w:type="dxa" w:w="4535"/>
          </w:tcPr>
          <w:p>
            <w:pPr>
              <w:spacing w:after="0"/>
            </w:pPr>
            <w:r/>
            <w:r>
              <w:rPr>
                <w:sz w:val="16"/>
              </w:rPr>
              <w:t>A random audit sample of lower-risk households is followed up monthly</w:t>
            </w:r>
          </w:p>
        </w:tc>
      </w:tr>
    </w:tbl>
    <w:p>
      <w:pPr>
        <w:spacing w:after="80"/>
      </w:pPr>
    </w:p>
    <w:p>
      <w:pPr>
        <w:spacing w:after="160"/>
      </w:pPr>
      <w:r>
        <w:rPr>
          <w:i/>
          <w:sz w:val="18"/>
        </w:rPr>
        <w:t>Table 7.1 Ethics decisions by lifecycle phase.</w:t>
      </w:r>
    </w:p>
    <w:p>
      <w:pPr>
        <w:pStyle w:val="Heading2"/>
      </w:pPr>
      <w:r>
        <w:t>Privacy, POPIA and human oversight</w:t>
      </w:r>
    </w:p>
    <w:p>
      <w:r>
        <w:rPr>
          <w:b w:val="0"/>
          <w:i w:val="0"/>
        </w:rPr>
        <w:t>Data minimisation was applied at every boundary. The model needs seven fields and receives only those; uploads are held in memory for one request and never written to disk; the monitoring log keeps counts and distributions, never a household row; identifiers are not shown, not returned in downloads, and absent from the dashboard. Because a higher-risk result could affect a household's access to support, a human stays in the loop by default, which is also what POPIA section 71 requires of a decision taken solely by automated means.</w:t>
      </w:r>
    </w:p>
    <w:p>
      <w:pPr>
        <w:pStyle w:val="Heading2"/>
      </w:pPr>
      <w:r>
        <w:t>Bias, and the gaps we did not close</w:t>
      </w:r>
    </w:p>
    <w:p>
      <w:r>
        <w:rPr>
          <w:b w:val="0"/>
          <w:i w:val="0"/>
        </w:rPr>
        <w:t>Equal opportunity was the chosen criterion, because the costly error here is missing a food-insecure household. Of 22 subgroups, 4 fall outside the 10-point tolerance; two are better than average and two are worse. Recall is 39.2% for households reporting more than R11,500 a month and 61.7% for households receiving no grants, against 80.7% overall: these are food-insecure households that do not look poor on the inputs the model has. We did not close the gap with group-specific thresholds, which would mean treating households differently by income on the basis of a proxy target. Instead it is published on the dashboard, repeated in the app, and turned into an operational rule, that a lower-risk result for a household in either group is not a reason to close an assessment. Farm households, 197 in the test set, have an interval too wide to support any claim of parity, so none is made.</w:t>
      </w:r>
    </w:p>
    <w:p>
      <w:pPr>
        <w:pStyle w:val="Heading2"/>
      </w:pPr>
      <w:r>
        <w:t>Transparency, and the use of AI tools</w:t>
      </w:r>
    </w:p>
    <w:p>
      <w:r>
        <w:rPr>
          <w:b w:val="0"/>
          <w:i w:val="0"/>
        </w:rPr>
        <w:t>Every result carries a probability, the three inputs that moved it most, and a statement of what the tool is not. The explanation method is honest about itself: it varies one input at a time against a typical household, so it shows association, not cause. The same discipline governs the findings, which is why grant receipt is reported everywhere as a marker of targeting rather than a cause, and why the target is described as a proxy built from eight survey answers on a sample rather than a census. Generative AI assistance was used by all three members, is acknowledged in the report, and is recorded use by use in the ethics and AI usage log with what the tool produced, how it was checked and what the team decided. Nothing was accepted on the assistant's word: AI-assisted code was run against the project's own data and compared with figures computed independently. The members remain the authors of the submission and of every decision in Table 7.1.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