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Ethics and Responsible AI Usage Log: Milestone 4</w:t>
      </w:r>
    </w:p>
    <w:p>
      <w:r>
        <w:rPr>
          <w:b w:val="0"/>
          <w:i/>
        </w:rPr>
        <w:t>Ethics decisions and use of AI tools across the final synthesis: dashboard, report, presentation and hand-over.</w:t>
      </w:r>
    </w:p>
    <w:p>
      <w:r>
        <w:rPr>
          <w:b w:val="0"/>
          <w:i w:val="0"/>
        </w:rPr>
        <w:t>BIN381 SDHSA project, Group P1. Log lead: Timothy Wubbeling (602543), with Alexander Solomon (601638) and Rudi Jan du Plessis (601342). October 2026.</w:t>
      </w:r>
    </w:p>
    <w:p>
      <w:r>
        <w:rPr>
          <w:b w:val="0"/>
          <w:i/>
          <w:sz w:val="20"/>
        </w:rPr>
        <w:t>Before upload: rows marked TO CONFIRM belong to Alexander and Rudi. Rudi's Milestone 4 AI entries are drafted in BIN381_M4_PersonB_Reflection_and_AI_Log.md, which is referenced in report/M4/README.md but is not yet in the repository; its entries run to AI-M4-7, so Timothy's are numbered AI-M4-C1 onward to avoid a clash. Renumber into one sequence only once all three sets are in, and each member must check their own acknowledgement.</w:t>
      </w:r>
    </w:p>
    <w:p>
      <w:pPr>
        <w:pStyle w:val="Heading1"/>
      </w:pPr>
      <w:r>
        <w:t>1. Purpose</w:t>
      </w:r>
    </w:p>
    <w:p>
      <w:r>
        <w:rPr>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1"/>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
              <w:rPr>
                <w:b/>
                <w:sz w:val="16"/>
              </w:rPr>
              <w:t>ID</w:t>
            </w:r>
          </w:p>
        </w:tc>
        <w:tc>
          <w:tcPr>
            <w:tcW w:type="dxa" w:w="907"/>
          </w:tcPr>
          <w:p>
            <w:pPr>
              <w:spacing w:after="0"/>
            </w:pPr>
            <w:r/>
            <w:r>
              <w:rPr>
                <w:b/>
                <w:sz w:val="16"/>
              </w:rPr>
              <w:t>Date</w:t>
            </w:r>
          </w:p>
        </w:tc>
        <w:tc>
          <w:tcPr>
            <w:tcW w:type="dxa" w:w="1191"/>
          </w:tcPr>
          <w:p>
            <w:pPr>
              <w:spacing w:after="0"/>
            </w:pPr>
            <w:r/>
            <w:r>
              <w:rPr>
                <w:b/>
                <w:sz w:val="16"/>
              </w:rPr>
              <w:t>Stage</w:t>
            </w:r>
          </w:p>
        </w:tc>
        <w:tc>
          <w:tcPr>
            <w:tcW w:type="dxa" w:w="2494"/>
          </w:tcPr>
          <w:p>
            <w:pPr>
              <w:spacing w:after="0"/>
            </w:pPr>
            <w:r/>
            <w:r>
              <w:rPr>
                <w:b/>
                <w:sz w:val="16"/>
              </w:rPr>
              <w:t>Issue</w:t>
            </w:r>
          </w:p>
        </w:tc>
        <w:tc>
          <w:tcPr>
            <w:tcW w:type="dxa" w:w="2835"/>
          </w:tcPr>
          <w:p>
            <w:pPr>
              <w:spacing w:after="0"/>
            </w:pPr>
            <w:r/>
            <w:r>
              <w:rPr>
                <w:b/>
                <w:sz w:val="16"/>
              </w:rPr>
              <w:t>Decision and mitigation</w:t>
            </w:r>
          </w:p>
        </w:tc>
        <w:tc>
          <w:tcPr>
            <w:tcW w:type="dxa" w:w="737"/>
          </w:tcPr>
          <w:p>
            <w:pPr>
              <w:spacing w:after="0"/>
            </w:pPr>
            <w:r/>
            <w:r>
              <w:rPr>
                <w:b/>
                <w:sz w:val="16"/>
              </w:rPr>
              <w:t>Owner</w:t>
            </w:r>
          </w:p>
        </w:tc>
      </w:tr>
      <w:tr>
        <w:tc>
          <w:tcPr>
            <w:tcW w:type="dxa" w:w="850"/>
          </w:tcPr>
          <w:p>
            <w:pPr>
              <w:spacing w:after="0"/>
            </w:pPr>
            <w:r/>
            <w:r>
              <w:rPr>
                <w:sz w:val="16"/>
              </w:rPr>
              <w:t>E4-01</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dashboard pages showed raw, pre-cleaning figures</w:t>
            </w:r>
          </w:p>
        </w:tc>
        <w:tc>
          <w:tcPr>
            <w:tcW w:type="dxa" w:w="2835"/>
          </w:tcPr>
          <w:p>
            <w:pPr>
              <w:spacing w:after="0"/>
            </w:pPr>
            <w:r/>
            <w:r>
              <w:rPr>
                <w:sz w:val="16"/>
              </w:rPr>
              <w:t>The Milestone 1 geographic and household pages were rebuilt on the integrated modelling dataset rather than merged as they were, so no superseded number is presented as final</w:t>
            </w:r>
          </w:p>
        </w:tc>
        <w:tc>
          <w:tcPr>
            <w:tcW w:type="dxa" w:w="737"/>
          </w:tcPr>
          <w:p>
            <w:pPr>
              <w:spacing w:after="0"/>
            </w:pPr>
            <w:r/>
            <w:r>
              <w:rPr>
                <w:sz w:val="16"/>
              </w:rPr>
              <w:t>C</w:t>
            </w:r>
          </w:p>
        </w:tc>
      </w:tr>
      <w:tr>
        <w:tc>
          <w:tcPr>
            <w:tcW w:type="dxa" w:w="850"/>
          </w:tcPr>
          <w:p>
            <w:pPr>
              <w:spacing w:after="0"/>
            </w:pPr>
            <w:r/>
            <w:r>
              <w:rPr>
                <w:sz w:val="16"/>
              </w:rPr>
              <w:t>E4-02</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map was bound to a United States shape file and could never have drawn South African provinces</w:t>
            </w:r>
          </w:p>
        </w:tc>
        <w:tc>
          <w:tcPr>
            <w:tcW w:type="dxa" w:w="2835"/>
          </w:tcPr>
          <w:p>
            <w:pPr>
              <w:spacing w:after="0"/>
            </w:pPr>
            <w:r/>
            <w:r>
              <w:rPr>
                <w:sz w:val="16"/>
              </w:rPr>
              <w:t>Removed rather than reused; replaced with a sorted province bar chart, and the removal recorded in the dashboard README</w:t>
            </w:r>
          </w:p>
        </w:tc>
        <w:tc>
          <w:tcPr>
            <w:tcW w:type="dxa" w:w="737"/>
          </w:tcPr>
          <w:p>
            <w:pPr>
              <w:spacing w:after="0"/>
            </w:pPr>
            <w:r/>
            <w:r>
              <w:rPr>
                <w:sz w:val="16"/>
              </w:rPr>
              <w:t>C</w:t>
            </w:r>
          </w:p>
        </w:tc>
      </w:tr>
      <w:tr>
        <w:tc>
          <w:tcPr>
            <w:tcW w:type="dxa" w:w="850"/>
          </w:tcPr>
          <w:p>
            <w:pPr>
              <w:spacing w:after="0"/>
            </w:pPr>
            <w:r/>
            <w:r>
              <w:rPr>
                <w:sz w:val="16"/>
              </w:rPr>
              <w:t>E4-03</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Dwelling type and water source were profiled in Milestone 1 but dropped at variable selection</w:t>
            </w:r>
          </w:p>
        </w:tc>
        <w:tc>
          <w:tcPr>
            <w:tcW w:type="dxa" w:w="2835"/>
          </w:tcPr>
          <w:p>
            <w:pPr>
              <w:spacing w:after="0"/>
            </w:pPr>
            <w:r/>
            <w:r>
              <w:rPr>
                <w:sz w:val="16"/>
              </w:rPr>
              <w:t>Left off the dashboard, because showing them beside the model's outputs would imply the screen uses them</w:t>
            </w:r>
          </w:p>
        </w:tc>
        <w:tc>
          <w:tcPr>
            <w:tcW w:type="dxa" w:w="737"/>
          </w:tcPr>
          <w:p>
            <w:pPr>
              <w:spacing w:after="0"/>
            </w:pPr>
            <w:r/>
            <w:r>
              <w:rPr>
                <w:sz w:val="16"/>
              </w:rPr>
              <w:t>C</w:t>
            </w:r>
          </w:p>
        </w:tc>
      </w:tr>
      <w:tr>
        <w:tc>
          <w:tcPr>
            <w:tcW w:type="dxa" w:w="850"/>
          </w:tcPr>
          <w:p>
            <w:pPr>
              <w:spacing w:after="0"/>
            </w:pPr>
            <w:r/>
            <w:r>
              <w:rPr>
                <w:sz w:val="16"/>
              </w:rPr>
              <w:t>E4-04</w:t>
            </w:r>
          </w:p>
        </w:tc>
        <w:tc>
          <w:tcPr>
            <w:tcW w:type="dxa" w:w="907"/>
          </w:tcPr>
          <w:p>
            <w:pPr>
              <w:spacing w:after="0"/>
            </w:pPr>
            <w:r/>
            <w:r>
              <w:rPr>
                <w:sz w:val="16"/>
              </w:rPr>
              <w:t>17 Oct</w:t>
            </w:r>
          </w:p>
        </w:tc>
        <w:tc>
          <w:tcPr>
            <w:tcW w:type="dxa" w:w="1191"/>
          </w:tcPr>
          <w:p>
            <w:pPr>
              <w:spacing w:after="0"/>
            </w:pPr>
            <w:r/>
            <w:r>
              <w:rPr>
                <w:sz w:val="16"/>
              </w:rPr>
              <w:t>Reporting</w:t>
            </w:r>
          </w:p>
        </w:tc>
        <w:tc>
          <w:tcPr>
            <w:tcW w:type="dxa" w:w="2494"/>
          </w:tcPr>
          <w:p>
            <w:pPr>
              <w:spacing w:after="0"/>
            </w:pPr>
            <w:r/>
            <w:r>
              <w:rPr>
                <w:sz w:val="16"/>
              </w:rPr>
              <w:t>Two correct referral rates (58.9% on the test set, 59.2% across all households) could look like a contradiction, and harmonising them would have been easier</w:t>
            </w:r>
          </w:p>
        </w:tc>
        <w:tc>
          <w:tcPr>
            <w:tcW w:type="dxa" w:w="2835"/>
          </w:tcPr>
          <w:p>
            <w:pPr>
              <w:spacing w:after="0"/>
            </w:pPr>
            <w:r/>
            <w:r>
              <w:rPr>
                <w:sz w:val="16"/>
              </w:rPr>
              <w:t>Both kept, each labelled with its population on the dashboard and in the report; a build-time check fails if they are swapped</w:t>
            </w:r>
          </w:p>
        </w:tc>
        <w:tc>
          <w:tcPr>
            <w:tcW w:type="dxa" w:w="737"/>
          </w:tcPr>
          <w:p>
            <w:pPr>
              <w:spacing w:after="0"/>
            </w:pPr>
            <w:r/>
            <w:r>
              <w:rPr>
                <w:sz w:val="16"/>
              </w:rPr>
              <w:t>C</w:t>
            </w:r>
          </w:p>
        </w:tc>
      </w:tr>
      <w:tr>
        <w:tc>
          <w:tcPr>
            <w:tcW w:type="dxa" w:w="850"/>
          </w:tcPr>
          <w:p>
            <w:pPr>
              <w:spacing w:after="0"/>
            </w:pPr>
            <w:r/>
            <w:r>
              <w:rPr>
                <w:sz w:val="16"/>
              </w:rPr>
              <w:t>E4-05</w:t>
            </w:r>
          </w:p>
        </w:tc>
        <w:tc>
          <w:tcPr>
            <w:tcW w:type="dxa" w:w="907"/>
          </w:tcPr>
          <w:p>
            <w:pPr>
              <w:spacing w:after="0"/>
            </w:pPr>
            <w:r/>
            <w:r>
              <w:rPr>
                <w:sz w:val="16"/>
              </w:rPr>
              <w:t>17 Oct</w:t>
            </w:r>
          </w:p>
        </w:tc>
        <w:tc>
          <w:tcPr>
            <w:tcW w:type="dxa" w:w="1191"/>
          </w:tcPr>
          <w:p>
            <w:pPr>
              <w:spacing w:after="0"/>
            </w:pPr>
            <w:r/>
            <w:r>
              <w:rPr>
                <w:sz w:val="16"/>
              </w:rPr>
              <w:t>Privacy</w:t>
            </w:r>
          </w:p>
        </w:tc>
        <w:tc>
          <w:tcPr>
            <w:tcW w:type="dxa" w:w="2494"/>
          </w:tcPr>
          <w:p>
            <w:pPr>
              <w:spacing w:after="0"/>
            </w:pPr>
            <w:r/>
            <w:r>
              <w:rPr>
                <w:sz w:val="16"/>
              </w:rPr>
              <w:t>A dashboard distributed as a file could carry household-level data</w:t>
            </w:r>
          </w:p>
        </w:tc>
        <w:tc>
          <w:tcPr>
            <w:tcW w:type="dxa" w:w="2835"/>
          </w:tcPr>
          <w:p>
            <w:pPr>
              <w:spacing w:after="0"/>
            </w:pPr>
            <w:r/>
            <w:r>
              <w:rPr>
                <w:sz w:val="16"/>
              </w:rPr>
              <w:t>The export carries a row number in place of HouseholdID; no page shows an identifier, and the dashboard ships aggregates only</w:t>
            </w:r>
          </w:p>
        </w:tc>
        <w:tc>
          <w:tcPr>
            <w:tcW w:type="dxa" w:w="737"/>
          </w:tcPr>
          <w:p>
            <w:pPr>
              <w:spacing w:after="0"/>
            </w:pPr>
            <w:r/>
            <w:r>
              <w:rPr>
                <w:sz w:val="16"/>
              </w:rPr>
              <w:t>C</w:t>
            </w:r>
          </w:p>
        </w:tc>
      </w:tr>
      <w:tr>
        <w:tc>
          <w:tcPr>
            <w:tcW w:type="dxa" w:w="850"/>
          </w:tcPr>
          <w:p>
            <w:pPr>
              <w:spacing w:after="0"/>
            </w:pPr>
            <w:r/>
            <w:r>
              <w:rPr>
                <w:sz w:val="16"/>
              </w:rPr>
              <w:t>E4-06</w:t>
            </w:r>
          </w:p>
        </w:tc>
        <w:tc>
          <w:tcPr>
            <w:tcW w:type="dxa" w:w="907"/>
          </w:tcPr>
          <w:p>
            <w:pPr>
              <w:spacing w:after="0"/>
            </w:pPr>
            <w:r/>
            <w:r>
              <w:rPr>
                <w:sz w:val="16"/>
              </w:rPr>
              <w:t>17 Oct</w:t>
            </w:r>
          </w:p>
        </w:tc>
        <w:tc>
          <w:tcPr>
            <w:tcW w:type="dxa" w:w="1191"/>
          </w:tcPr>
          <w:p>
            <w:pPr>
              <w:spacing w:after="0"/>
            </w:pPr>
            <w:r/>
            <w:r>
              <w:rPr>
                <w:sz w:val="16"/>
              </w:rPr>
              <w:t>Fairness</w:t>
            </w:r>
          </w:p>
        </w:tc>
        <w:tc>
          <w:tcPr>
            <w:tcW w:type="dxa" w:w="2494"/>
          </w:tcPr>
          <w:p>
            <w:pPr>
              <w:spacing w:after="0"/>
            </w:pPr>
            <w:r/>
            <w:r>
              <w:rPr>
                <w:sz w:val="16"/>
              </w:rPr>
              <w:t>The subgroup recall gaps were only in the report, where an operational user would not see them</w:t>
            </w:r>
          </w:p>
        </w:tc>
        <w:tc>
          <w:tcPr>
            <w:tcW w:type="dxa" w:w="2835"/>
          </w:tcPr>
          <w:p>
            <w:pPr>
              <w:spacing w:after="0"/>
            </w:pPr>
            <w:r/>
            <w:r>
              <w:rPr>
                <w:sz w:val="16"/>
              </w:rPr>
              <w:t>Given a dashboard page of their own, with 95% intervals so small groups cannot be over-read; group-specific thresholds again declined</w:t>
            </w:r>
          </w:p>
        </w:tc>
        <w:tc>
          <w:tcPr>
            <w:tcW w:type="dxa" w:w="737"/>
          </w:tcPr>
          <w:p>
            <w:pPr>
              <w:spacing w:after="0"/>
            </w:pPr>
            <w:r/>
            <w:r>
              <w:rPr>
                <w:sz w:val="16"/>
              </w:rPr>
              <w:t>C</w:t>
            </w:r>
          </w:p>
        </w:tc>
      </w:tr>
      <w:tr>
        <w:tc>
          <w:tcPr>
            <w:tcW w:type="dxa" w:w="850"/>
          </w:tcPr>
          <w:p>
            <w:pPr>
              <w:spacing w:after="0"/>
            </w:pPr>
            <w:r/>
            <w:r>
              <w:rPr>
                <w:sz w:val="16"/>
              </w:rPr>
              <w:t>E4-07</w:t>
            </w:r>
          </w:p>
        </w:tc>
        <w:tc>
          <w:tcPr>
            <w:tcW w:type="dxa" w:w="907"/>
          </w:tcPr>
          <w:p>
            <w:pPr>
              <w:spacing w:after="0"/>
            </w:pPr>
            <w:r/>
            <w:r>
              <w:rPr>
                <w:sz w:val="16"/>
              </w:rPr>
              <w:t>17 Oct</w:t>
            </w:r>
          </w:p>
        </w:tc>
        <w:tc>
          <w:tcPr>
            <w:tcW w:type="dxa" w:w="1191"/>
          </w:tcPr>
          <w:p>
            <w:pPr>
              <w:spacing w:after="0"/>
            </w:pPr>
            <w:r/>
            <w:r>
              <w:rPr>
                <w:sz w:val="16"/>
              </w:rPr>
              <w:t>Deployment</w:t>
            </w:r>
          </w:p>
        </w:tc>
        <w:tc>
          <w:tcPr>
            <w:tcW w:type="dxa" w:w="2494"/>
          </w:tcPr>
          <w:p>
            <w:pPr>
              <w:spacing w:after="0"/>
            </w:pPr>
            <w:r/>
            <w:r>
              <w:rPr>
                <w:sz w:val="16"/>
              </w:rPr>
              <w:t>A dashboard page viewed on its own loses the context that this is a screening aid</w:t>
            </w:r>
          </w:p>
        </w:tc>
        <w:tc>
          <w:tcPr>
            <w:tcW w:type="dxa" w:w="2835"/>
          </w:tcPr>
          <w:p>
            <w:pPr>
              <w:spacing w:after="0"/>
            </w:pPr>
            <w:r/>
            <w:r>
              <w:rPr>
                <w:sz w:val="16"/>
              </w:rPr>
              <w:t>The screening-aid statement is in the footer of all seven pages, not only the landing page</w:t>
            </w:r>
          </w:p>
        </w:tc>
        <w:tc>
          <w:tcPr>
            <w:tcW w:type="dxa" w:w="737"/>
          </w:tcPr>
          <w:p>
            <w:pPr>
              <w:spacing w:after="0"/>
            </w:pPr>
            <w:r/>
            <w:r>
              <w:rPr>
                <w:sz w:val="16"/>
              </w:rPr>
              <w:t>C</w:t>
            </w:r>
          </w:p>
        </w:tc>
      </w:tr>
      <w:tr>
        <w:tc>
          <w:tcPr>
            <w:tcW w:type="dxa" w:w="850"/>
          </w:tcPr>
          <w:p>
            <w:pPr>
              <w:spacing w:after="0"/>
            </w:pPr>
            <w:r/>
            <w:r>
              <w:rPr>
                <w:sz w:val="16"/>
              </w:rPr>
              <w:t>E4-08</w:t>
            </w:r>
          </w:p>
        </w:tc>
        <w:tc>
          <w:tcPr>
            <w:tcW w:type="dxa" w:w="907"/>
          </w:tcPr>
          <w:p>
            <w:pPr>
              <w:spacing w:after="0"/>
            </w:pPr>
            <w:r/>
            <w:r>
              <w:rPr>
                <w:sz w:val="16"/>
              </w:rPr>
              <w:t>17 Oct</w:t>
            </w:r>
          </w:p>
        </w:tc>
        <w:tc>
          <w:tcPr>
            <w:tcW w:type="dxa" w:w="1191"/>
          </w:tcPr>
          <w:p>
            <w:pPr>
              <w:spacing w:after="0"/>
            </w:pPr>
            <w:r/>
            <w:r>
              <w:rPr>
                <w:sz w:val="16"/>
              </w:rPr>
              <w:t>Responsible AI</w:t>
            </w:r>
          </w:p>
        </w:tc>
        <w:tc>
          <w:tcPr>
            <w:tcW w:type="dxa" w:w="2494"/>
          </w:tcPr>
          <w:p>
            <w:pPr>
              <w:spacing w:after="0"/>
            </w:pPr>
            <w:r/>
            <w:r>
              <w:rPr>
                <w:sz w:val="16"/>
              </w:rPr>
              <w:t>The dashboard layout and the semantic model were generated by script with AI assistance, which is not obvious from the file</w:t>
            </w:r>
          </w:p>
        </w:tc>
        <w:tc>
          <w:tcPr>
            <w:tcW w:type="dxa" w:w="2835"/>
          </w:tcPr>
          <w:p>
            <w:pPr>
              <w:spacing w:after="0"/>
            </w:pPr>
            <w:r/>
            <w:r>
              <w:rPr>
                <w:sz w:val="16"/>
              </w:rPr>
              <w:t>Disclosed in AI-M4-C1 of this log, with every generator script committed to powerbi/M4_Merged_Dashboard/scripts/ so the output can be inspected and rebuilt</w:t>
            </w:r>
          </w:p>
        </w:tc>
        <w:tc>
          <w:tcPr>
            <w:tcW w:type="dxa" w:w="737"/>
          </w:tcPr>
          <w:p>
            <w:pPr>
              <w:spacing w:after="0"/>
            </w:pPr>
            <w:r/>
            <w:r>
              <w:rPr>
                <w:sz w:val="16"/>
              </w:rPr>
              <w:t>C</w:t>
            </w:r>
          </w:p>
        </w:tc>
      </w:tr>
      <w:tr>
        <w:tc>
          <w:tcPr>
            <w:tcW w:type="dxa" w:w="850"/>
          </w:tcPr>
          <w:p>
            <w:pPr>
              <w:spacing w:after="0"/>
            </w:pPr>
            <w:r/>
            <w:r>
              <w:rPr>
                <w:sz w:val="16"/>
              </w:rPr>
              <w:t>E4-09</w:t>
            </w:r>
          </w:p>
        </w:tc>
        <w:tc>
          <w:tcPr>
            <w:tcW w:type="dxa" w:w="907"/>
          </w:tcPr>
          <w:p>
            <w:pPr>
              <w:spacing w:after="0"/>
            </w:pPr>
            <w:r/>
            <w:r>
              <w:rPr>
                <w:sz w:val="16"/>
              </w:rPr>
              <w:t>18 Oct</w:t>
            </w:r>
          </w:p>
        </w:tc>
        <w:tc>
          <w:tcPr>
            <w:tcW w:type="dxa" w:w="1191"/>
          </w:tcPr>
          <w:p>
            <w:pPr>
              <w:spacing w:after="0"/>
            </w:pPr>
            <w:r/>
            <w:r>
              <w:rPr>
                <w:sz w:val="16"/>
              </w:rPr>
              <w:t>Presentation</w:t>
            </w:r>
          </w:p>
        </w:tc>
        <w:tc>
          <w:tcPr>
            <w:tcW w:type="dxa" w:w="2494"/>
          </w:tcPr>
          <w:p>
            <w:pPr>
              <w:spacing w:after="0"/>
            </w:pPr>
            <w:r/>
            <w:r>
              <w:rPr>
                <w:sz w:val="16"/>
              </w:rPr>
              <w:t>The Milestone 1 data-inventory and data-quality figures had become static prose on the merged dashboard, so a reader could not check them</w:t>
            </w:r>
          </w:p>
        </w:tc>
        <w:tc>
          <w:tcPr>
            <w:tcW w:type="dxa" w:w="2835"/>
          </w:tcPr>
          <w:p>
            <w:pPr>
              <w:spacing w:after="0"/>
            </w:pPr>
            <w:r/>
            <w:r>
              <w:rPr>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
              <w:rPr>
                <w:sz w:val="16"/>
              </w:rPr>
              <w:t>C</w:t>
            </w:r>
          </w:p>
        </w:tc>
      </w:tr>
      <w:tr>
        <w:tc>
          <w:tcPr>
            <w:tcW w:type="dxa" w:w="850"/>
          </w:tcPr>
          <w:p>
            <w:pPr>
              <w:spacing w:after="0"/>
            </w:pPr>
            <w:r/>
            <w:r>
              <w:rPr>
                <w:sz w:val="16"/>
              </w:rPr>
              <w:t>E4-10</w:t>
            </w:r>
          </w:p>
        </w:tc>
        <w:tc>
          <w:tcPr>
            <w:tcW w:type="dxa" w:w="907"/>
          </w:tcPr>
          <w:p>
            <w:pPr>
              <w:spacing w:after="0"/>
            </w:pPr>
            <w:r/>
            <w:r>
              <w:rPr>
                <w:sz w:val="16"/>
              </w:rPr>
              <w:t>19 Oct</w:t>
            </w:r>
          </w:p>
        </w:tc>
        <w:tc>
          <w:tcPr>
            <w:tcW w:type="dxa" w:w="1191"/>
          </w:tcPr>
          <w:p>
            <w:pPr>
              <w:spacing w:after="0"/>
            </w:pPr>
            <w:r/>
            <w:r>
              <w:rPr>
                <w:sz w:val="16"/>
              </w:rPr>
              <w:t>Reproducibility</w:t>
            </w:r>
          </w:p>
        </w:tc>
        <w:tc>
          <w:tcPr>
            <w:tcW w:type="dxa" w:w="2494"/>
          </w:tcPr>
          <w:p>
            <w:pPr>
              <w:spacing w:after="0"/>
            </w:pPr>
            <w:r/>
            <w:r>
              <w:rPr>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
              <w:rPr>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
              <w:rPr>
                <w:sz w:val="16"/>
              </w:rPr>
              <w:t>C</w:t>
            </w:r>
          </w:p>
        </w:tc>
      </w:tr>
      <w:tr>
        <w:tc>
          <w:tcPr>
            <w:tcW w:type="dxa" w:w="850"/>
          </w:tcPr>
          <w:p>
            <w:pPr>
              <w:spacing w:after="0"/>
            </w:pPr>
            <w:r/>
            <w:r>
              <w:rPr>
                <w:sz w:val="16"/>
              </w:rPr>
              <w:t>E4-11</w:t>
            </w:r>
          </w:p>
        </w:tc>
        <w:tc>
          <w:tcPr>
            <w:tcW w:type="dxa" w:w="907"/>
          </w:tcPr>
          <w:p>
            <w:pPr>
              <w:spacing w:after="0"/>
            </w:pPr>
            <w:r/>
            <w:r>
              <w:rPr>
                <w:sz w:val="16"/>
              </w:rPr>
              <w:t>TO CONFIRM</w:t>
            </w:r>
          </w:p>
        </w:tc>
        <w:tc>
          <w:tcPr>
            <w:tcW w:type="dxa" w:w="1191"/>
          </w:tcPr>
          <w:p>
            <w:pPr>
              <w:spacing w:after="0"/>
            </w:pPr>
            <w:r/>
            <w:r>
              <w:rPr>
                <w:sz w:val="16"/>
              </w:rPr>
              <w:t>Modelling / data</w:t>
            </w:r>
          </w:p>
        </w:tc>
        <w:tc>
          <w:tcPr>
            <w:tcW w:type="dxa" w:w="2494"/>
          </w:tcPr>
          <w:p>
            <w:pPr>
              <w:spacing w:after="0"/>
            </w:pPr>
            <w:r/>
            <w:r>
              <w:rPr>
                <w:sz w:val="16"/>
              </w:rPr>
              <w:t>TO CONFIRM</w:t>
            </w:r>
          </w:p>
        </w:tc>
        <w:tc>
          <w:tcPr>
            <w:tcW w:type="dxa" w:w="2835"/>
          </w:tcPr>
          <w:p>
            <w:pPr>
              <w:spacing w:after="0"/>
            </w:pPr>
            <w:r/>
            <w:r>
              <w:rPr>
                <w:sz w:val="16"/>
              </w:rPr>
              <w:t>TO CONFIRM</w:t>
            </w:r>
          </w:p>
        </w:tc>
        <w:tc>
          <w:tcPr>
            <w:tcW w:type="dxa" w:w="737"/>
          </w:tcPr>
          <w:p>
            <w:pPr>
              <w:spacing w:after="0"/>
            </w:pPr>
            <w:r/>
            <w:r>
              <w:rPr>
                <w:sz w:val="16"/>
              </w:rPr>
              <w:t>A</w:t>
            </w:r>
          </w:p>
        </w:tc>
      </w:tr>
      <w:tr>
        <w:tc>
          <w:tcPr>
            <w:tcW w:type="dxa" w:w="850"/>
          </w:tcPr>
          <w:p>
            <w:pPr>
              <w:spacing w:after="0"/>
            </w:pPr>
            <w:r/>
            <w:r>
              <w:rPr>
                <w:sz w:val="16"/>
              </w:rPr>
              <w:t>E4-12</w:t>
            </w:r>
          </w:p>
        </w:tc>
        <w:tc>
          <w:tcPr>
            <w:tcW w:type="dxa" w:w="907"/>
          </w:tcPr>
          <w:p>
            <w:pPr>
              <w:spacing w:after="0"/>
            </w:pPr>
            <w:r/>
            <w:r>
              <w:rPr>
                <w:sz w:val="16"/>
              </w:rPr>
              <w:t>TO CONFIRM</w:t>
            </w:r>
          </w:p>
        </w:tc>
        <w:tc>
          <w:tcPr>
            <w:tcW w:type="dxa" w:w="1191"/>
          </w:tcPr>
          <w:p>
            <w:pPr>
              <w:spacing w:after="0"/>
            </w:pPr>
            <w:r/>
            <w:r>
              <w:rPr>
                <w:sz w:val="16"/>
              </w:rPr>
              <w:t>Evaluation</w:t>
            </w:r>
          </w:p>
        </w:tc>
        <w:tc>
          <w:tcPr>
            <w:tcW w:type="dxa" w:w="2494"/>
          </w:tcPr>
          <w:p>
            <w:pPr>
              <w:spacing w:after="0"/>
            </w:pPr>
            <w:r/>
            <w:r>
              <w:rPr>
                <w:sz w:val="16"/>
              </w:rPr>
              <w:t>TO CONFIRM</w:t>
            </w:r>
          </w:p>
        </w:tc>
        <w:tc>
          <w:tcPr>
            <w:tcW w:type="dxa" w:w="2835"/>
          </w:tcPr>
          <w:p>
            <w:pPr>
              <w:spacing w:after="0"/>
            </w:pPr>
            <w:r/>
            <w:r>
              <w:rPr>
                <w:sz w:val="16"/>
              </w:rPr>
              <w:t>TO CONFIRM</w:t>
            </w:r>
          </w:p>
        </w:tc>
        <w:tc>
          <w:tcPr>
            <w:tcW w:type="dxa" w:w="737"/>
          </w:tcPr>
          <w:p>
            <w:pPr>
              <w:spacing w:after="0"/>
            </w:pPr>
            <w:r/>
            <w:r>
              <w:rPr>
                <w:sz w:val="16"/>
              </w:rPr>
              <w:t>B</w:t>
            </w:r>
          </w:p>
        </w:tc>
      </w:tr>
    </w:tbl>
    <w:p>
      <w:pPr>
        <w:spacing w:after="80"/>
      </w:pPr>
    </w:p>
    <w:p>
      <w:pPr>
        <w:spacing w:after="160"/>
      </w:pPr>
      <w:r>
        <w:rPr>
          <w:i/>
          <w:sz w:val="18"/>
        </w:rPr>
        <w:t>Table 1. Ethics decisions in Milestone 4 (A = Alexander Solomon, B = Rudi Jan du Plessis, C = Timothy Wubbeling).</w:t>
      </w:r>
    </w:p>
    <w:p>
      <w:pPr>
        <w:pStyle w:val="Heading1"/>
      </w:pPr>
      <w:r>
        <w:t>3. Use of AI tools</w:t>
      </w:r>
    </w:p>
    <w:p>
      <w:r>
        <w:rPr>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
              <w:rPr>
                <w:b/>
                <w:sz w:val="16"/>
              </w:rPr>
              <w:t>#</w:t>
            </w:r>
          </w:p>
        </w:tc>
        <w:tc>
          <w:tcPr>
            <w:tcW w:type="dxa" w:w="1361"/>
          </w:tcPr>
          <w:p>
            <w:pPr>
              <w:spacing w:after="0"/>
            </w:pPr>
            <w:r/>
            <w:r>
              <w:rPr>
                <w:b/>
                <w:sz w:val="16"/>
              </w:rPr>
              <w:t>Date, person, tool</w:t>
            </w:r>
          </w:p>
        </w:tc>
        <w:tc>
          <w:tcPr>
            <w:tcW w:type="dxa" w:w="2438"/>
          </w:tcPr>
          <w:p>
            <w:pPr>
              <w:spacing w:after="0"/>
            </w:pPr>
            <w:r/>
            <w:r>
              <w:rPr>
                <w:b/>
                <w:sz w:val="16"/>
              </w:rPr>
              <w:t>Task and what the AI produced</w:t>
            </w:r>
          </w:p>
        </w:tc>
        <w:tc>
          <w:tcPr>
            <w:tcW w:type="dxa" w:w="2154"/>
          </w:tcPr>
          <w:p>
            <w:pPr>
              <w:spacing w:after="0"/>
            </w:pPr>
            <w:r/>
            <w:r>
              <w:rPr>
                <w:b/>
                <w:sz w:val="16"/>
              </w:rPr>
              <w:t>How it was checked</w:t>
            </w:r>
          </w:p>
        </w:tc>
        <w:tc>
          <w:tcPr>
            <w:tcW w:type="dxa" w:w="2098"/>
          </w:tcPr>
          <w:p>
            <w:pPr>
              <w:spacing w:after="0"/>
            </w:pPr>
            <w:r/>
            <w:r>
              <w:rPr>
                <w:b/>
                <w:sz w:val="16"/>
              </w:rPr>
              <w:t>Decisions and changes by the team</w:t>
            </w:r>
          </w:p>
        </w:tc>
      </w:tr>
      <w:tr>
        <w:tc>
          <w:tcPr>
            <w:tcW w:type="dxa" w:w="964"/>
          </w:tcPr>
          <w:p>
            <w:pPr>
              <w:spacing w:after="0"/>
            </w:pPr>
            <w:r/>
            <w:r>
              <w:rPr>
                <w:sz w:val="16"/>
              </w:rPr>
              <w:t>AI-M4-C1</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
              <w:rPr>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
              <w:rPr>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
              <w:rPr>
                <w:sz w:val="16"/>
              </w:rPr>
              <w:t>AI-M4-C2</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
              <w:rPr>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
              <w:rPr>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
              <w:rPr>
                <w:sz w:val="16"/>
              </w:rPr>
              <w:t>AI-M4-C3</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
              <w:rPr>
                <w:sz w:val="16"/>
              </w:rPr>
              <w:t>AI-M4-C4</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Slides 8 to 10 and the demo running order, including the messy-upload demonstration and the prepared answers.</w:t>
            </w:r>
          </w:p>
        </w:tc>
        <w:tc>
          <w:tcPr>
            <w:tcW w:type="dxa" w:w="2154"/>
          </w:tcPr>
          <w:p>
            <w:pPr>
              <w:spacing w:after="0"/>
            </w:pPr>
            <w:r/>
            <w:r>
              <w:rPr>
                <w:sz w:val="16"/>
              </w:rPr>
              <w:t>Every number on the slides was checked against the report and data/evaluation/. The demo sequence was walked through against the running app.</w:t>
            </w:r>
          </w:p>
        </w:tc>
        <w:tc>
          <w:tcPr>
            <w:tcW w:type="dxa" w:w="2098"/>
          </w:tcPr>
          <w:p>
            <w:pPr>
              <w:spacing w:after="0"/>
            </w:pPr>
            <w:r/>
            <w:r>
              <w:rPr>
                <w:sz w:val="16"/>
              </w:rPr>
              <w:t>Draft only. I rewrote the speaker notes in my own words before rehearsal, since I am the one presenting them.</w:t>
            </w:r>
          </w:p>
        </w:tc>
      </w:tr>
      <w:tr>
        <w:tc>
          <w:tcPr>
            <w:tcW w:type="dxa" w:w="964"/>
          </w:tcPr>
          <w:p>
            <w:pPr>
              <w:spacing w:after="0"/>
            </w:pPr>
            <w:r/>
            <w:r>
              <w:rPr>
                <w:sz w:val="16"/>
              </w:rPr>
              <w:t>AI-M4-C5</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Hand-over and maintenance notes, the dashboard README, and the first draft of this log including the Milestone 4 ethics decisions in section 2.</w:t>
            </w:r>
          </w:p>
        </w:tc>
        <w:tc>
          <w:tcPr>
            <w:tcW w:type="dxa" w:w="2154"/>
          </w:tcPr>
          <w:p>
            <w:pPr>
              <w:spacing w:after="0"/>
            </w:pPr>
            <w:r/>
            <w:r>
              <w:rPr>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
              <w:rPr>
                <w:sz w:val="16"/>
              </w:rPr>
              <w:t>Reviewed and accepted. The entries describing my own reasoning are mine; Claude wrote them down.</w:t>
            </w:r>
          </w:p>
        </w:tc>
      </w:tr>
      <w:tr>
        <w:tc>
          <w:tcPr>
            <w:tcW w:type="dxa" w:w="964"/>
          </w:tcPr>
          <w:p>
            <w:pPr>
              <w:spacing w:after="0"/>
            </w:pPr>
            <w:r/>
            <w:r>
              <w:rPr>
                <w:sz w:val="16"/>
              </w:rPr>
              <w:t>AI-M4-C6</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Reflection. Claude produced a first draft of my personal reflection from this session's work and the project history.</w:t>
            </w:r>
          </w:p>
        </w:tc>
        <w:tc>
          <w:tcPr>
            <w:tcW w:type="dxa" w:w="2154"/>
          </w:tcPr>
          <w:p>
            <w:pPr>
              <w:spacing w:after="0"/>
            </w:pPr>
            <w:r/>
            <w:r>
              <w:rPr>
                <w:sz w:val="16"/>
              </w:rPr>
              <w:t>Not applicable - a personal reflection cannot be verified against data.</w:t>
            </w:r>
          </w:p>
        </w:tc>
        <w:tc>
          <w:tcPr>
            <w:tcW w:type="dxa" w:w="2098"/>
          </w:tcPr>
          <w:p>
            <w:pPr>
              <w:spacing w:after="0"/>
            </w:pPr>
            <w:r/>
            <w:r>
              <w:rPr>
                <w:sz w:val="16"/>
              </w:rPr>
              <w:t>Rewritten by me in my own words. A reflection that I did not write would not be my reflection, and this entry records that a draft existed.</w:t>
            </w:r>
          </w:p>
        </w:tc>
      </w:tr>
      <w:tr>
        <w:tc>
          <w:tcPr>
            <w:tcW w:type="dxa" w:w="964"/>
          </w:tcPr>
          <w:p>
            <w:pPr>
              <w:spacing w:after="0"/>
            </w:pPr>
            <w:r/>
            <w:r>
              <w:rPr>
                <w:sz w:val="16"/>
              </w:rPr>
              <w:t>AI-M4-C7</w:t>
            </w:r>
          </w:p>
        </w:tc>
        <w:tc>
          <w:tcPr>
            <w:tcW w:type="dxa" w:w="1361"/>
          </w:tcPr>
          <w:p>
            <w:pPr>
              <w:spacing w:after="0"/>
            </w:pPr>
            <w:r/>
            <w:r>
              <w:rPr>
                <w:sz w:val="16"/>
              </w:rPr>
              <w:t>18 Oct 2026</w:t>
            </w:r>
          </w:p>
          <w:p>
            <w:pPr>
              <w:spacing w:after="0"/>
            </w:pPr>
            <w:r>
              <w:rPr>
                <w:sz w:val="16"/>
              </w:rPr>
              <w:t>Timothy (C)</w:t>
            </w:r>
          </w:p>
          <w:p>
            <w:pPr>
              <w:spacing w:after="0"/>
            </w:pPr>
            <w:r>
              <w:rPr>
                <w:sz w:val="16"/>
              </w:rPr>
              <w:t>Claude (Anthropic)</w:t>
            </w:r>
          </w:p>
        </w:tc>
        <w:tc>
          <w:tcPr>
            <w:tcW w:type="dxa" w:w="2438"/>
          </w:tcPr>
          <w:p>
            <w:pPr>
              <w:spacing w:after="0"/>
            </w:pPr>
            <w:r/>
            <w:r>
              <w:rPr>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
              <w:rPr>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
              <w:rPr>
                <w:sz w:val="16"/>
              </w:rPr>
              <w:t>Accepted. Claude also found that its own build script deleted the project's README and scripts folder on every rebuild, and fixed it. The dashboard is now nine pages.</w:t>
            </w:r>
          </w:p>
        </w:tc>
      </w:tr>
      <w:tr>
        <w:tc>
          <w:tcPr>
            <w:tcW w:type="dxa" w:w="964"/>
          </w:tcPr>
          <w:p>
            <w:pPr>
              <w:spacing w:after="0"/>
            </w:pPr>
            <w:r/>
            <w:r>
              <w:rPr>
                <w:sz w:val="16"/>
              </w:rPr>
              <w:t>AI-M4-C8</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
              <w:rPr>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
              <w:rPr>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
              <w:rPr>
                <w:sz w:val="16"/>
              </w:rPr>
              <w:t>AI-M4-A1</w:t>
            </w:r>
          </w:p>
        </w:tc>
        <w:tc>
          <w:tcPr>
            <w:tcW w:type="dxa" w:w="1361"/>
          </w:tcPr>
          <w:p>
            <w:pPr>
              <w:spacing w:after="0"/>
            </w:pPr>
            <w:r/>
            <w:r>
              <w:rPr>
                <w:sz w:val="16"/>
              </w:rPr>
              <w:t>TO CONFIRM</w:t>
            </w:r>
          </w:p>
        </w:tc>
        <w:tc>
          <w:tcPr>
            <w:tcW w:type="dxa" w:w="2438"/>
          </w:tcPr>
          <w:p>
            <w:pPr>
              <w:spacing w:after="0"/>
            </w:pPr>
            <w:r/>
            <w:r>
              <w:rPr>
                <w:sz w:val="16"/>
              </w:rPr>
              <w:t>TO CONFIRM</w:t>
            </w:r>
          </w:p>
        </w:tc>
        <w:tc>
          <w:tcPr>
            <w:tcW w:type="dxa" w:w="2154"/>
          </w:tcPr>
          <w:p>
            <w:pPr>
              <w:spacing w:after="0"/>
            </w:pPr>
            <w:r/>
            <w:r>
              <w:rPr>
                <w:sz w:val="16"/>
              </w:rPr>
              <w:t>TO CONFIRM</w:t>
            </w:r>
          </w:p>
        </w:tc>
        <w:tc>
          <w:tcPr>
            <w:tcW w:type="dxa" w:w="2098"/>
          </w:tcPr>
          <w:p>
            <w:pPr>
              <w:spacing w:after="0"/>
            </w:pPr>
            <w:r/>
            <w:r>
              <w:rPr>
                <w:sz w:val="16"/>
              </w:rPr>
              <w:t>TO CONFIRM</w:t>
            </w:r>
          </w:p>
        </w:tc>
      </w:tr>
      <w:tr>
        <w:tc>
          <w:tcPr>
            <w:tcW w:type="dxa" w:w="964"/>
          </w:tcPr>
          <w:p>
            <w:pPr>
              <w:spacing w:after="0"/>
            </w:pPr>
            <w:r/>
            <w:r>
              <w:rPr>
                <w:sz w:val="16"/>
              </w:rPr>
              <w:t>AI-M4-B1</w:t>
            </w:r>
          </w:p>
        </w:tc>
        <w:tc>
          <w:tcPr>
            <w:tcW w:type="dxa" w:w="1361"/>
          </w:tcPr>
          <w:p>
            <w:pPr>
              <w:spacing w:after="0"/>
            </w:pPr>
            <w:r/>
            <w:r>
              <w:rPr>
                <w:sz w:val="16"/>
              </w:rPr>
              <w:t>TO CONFIRM</w:t>
            </w:r>
          </w:p>
        </w:tc>
        <w:tc>
          <w:tcPr>
            <w:tcW w:type="dxa" w:w="2438"/>
          </w:tcPr>
          <w:p>
            <w:pPr>
              <w:spacing w:after="0"/>
            </w:pPr>
            <w:r/>
            <w:r>
              <w:rPr>
                <w:sz w:val="16"/>
              </w:rPr>
              <w:t>TO CONFIRM</w:t>
            </w:r>
          </w:p>
        </w:tc>
        <w:tc>
          <w:tcPr>
            <w:tcW w:type="dxa" w:w="2154"/>
          </w:tcPr>
          <w:p>
            <w:pPr>
              <w:spacing w:after="0"/>
            </w:pPr>
            <w:r/>
            <w:r>
              <w:rPr>
                <w:sz w:val="16"/>
              </w:rPr>
              <w:t>TO CONFIRM</w:t>
            </w:r>
          </w:p>
        </w:tc>
        <w:tc>
          <w:tcPr>
            <w:tcW w:type="dxa" w:w="2098"/>
          </w:tcPr>
          <w:p>
            <w:pPr>
              <w:spacing w:after="0"/>
            </w:pPr>
            <w:r/>
            <w:r>
              <w:rPr>
                <w:sz w:val="16"/>
              </w:rPr>
              <w:t>TO CONFIRM</w:t>
            </w:r>
          </w:p>
        </w:tc>
      </w:tr>
    </w:tbl>
    <w:p>
      <w:pPr>
        <w:spacing w:after="80"/>
      </w:pPr>
    </w:p>
    <w:p>
      <w:pPr>
        <w:spacing w:after="160"/>
      </w:pPr>
      <w:r>
        <w:rPr>
          <w:i/>
          <w:sz w:val="18"/>
        </w:rPr>
        <w:t>Table 2. Use of AI tools in Milestone 4.</w:t>
      </w:r>
    </w:p>
    <w:p>
      <w:pPr>
        <w:pStyle w:val="Heading1"/>
      </w:pPr>
      <w:r>
        <w:t>4. Acknowledgement statement for the report</w:t>
      </w:r>
    </w:p>
    <w:p>
      <w:r>
        <w:rPr>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1"/>
      </w:pPr>
      <w:r>
        <w:t>5. Responsible use</w:t>
      </w:r>
    </w:p>
    <w:p>
      <w:r>
        <w:rPr>
          <w:b w:val="0"/>
          <w:i w:val="0"/>
        </w:rPr>
        <w:t>Three rules governed the use of AI tools, and they are the reason this log can be specific.</w:t>
      </w:r>
    </w:p>
    <w:p>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Number"/>
      </w:pPr>
      <w:r>
        <w:t>Personal and evaluative writing stays personal. The reflection was redrafted by its author (AI-M4-C6), and the ethics decisions in section 2 record judgements the team made, written down with assistance rather than decided by it.</w:t>
      </w:r>
    </w:p>
    <w:p>
      <w:pPr>
        <w:pStyle w:val="Heading1"/>
      </w:pPr>
      <w:r>
        <w:t>6. Reflection - Timothy Wubbeling (Person C)</w:t>
      </w:r>
    </w:p>
    <w:p>
      <w:r>
        <w:rPr>
          <w:b w:val="0"/>
          <w:i/>
          <w:sz w:val="20"/>
        </w:rPr>
        <w:t>Draft for Timothy to rewrite - see AI-M4-C6. A reflection in someone else's words is not a reflection; use this only as a prompt for your own, and keep it to 150-200 words.</w:t>
      </w:r>
    </w:p>
    <w:p>
      <w:r>
        <w:rPr>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r>
        <w:rPr>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r>
        <w:rPr>
          <w:b w:val="0"/>
          <w:i w:val="0"/>
        </w:rPr>
        <w:t>What changed is where I think accuracy comes from. In Milestone 2 I trusted a clean notebook; now I trust a figure only when two independent paths produce it, which is why the dashboard subtracts the R output from itself in front of the user.</w:t>
      </w:r>
    </w:p>
    <w:p>
      <w:r>
        <w:rPr>
          <w:b w:val="0"/>
          <w:i w:val="0"/>
        </w:rPr>
        <w:t>What I would improve: I left reconciliation until the dashboard existed. Writing the check first would have caught drift while it was still cheap.</w:t>
      </w:r>
    </w:p>
    <w:p>
      <w:pPr>
        <w:pStyle w:val="Heading1"/>
      </w:pPr>
      <w:r>
        <w:t>7. Reflections - Alexander Solomon (Person A) and Rudi Jan du Plessis (Person B)</w:t>
      </w:r>
    </w:p>
    <w:p>
      <w:r>
        <w:rPr>
          <w:b w:val="0"/>
          <w:i/>
        </w:rPr>
        <w:t>TO CONFIRM - each member writes 150 to 200 words on what worked, what surprised them, what changed across the milestones, what they learned and what they would improve, merged under their own name.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