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Artifact 10: Decision Matrix for Selecting Pre-Trained AI Models</w:t>
      </w:r>
    </w:p>
    <w:p>
      <w:pPr>
        <w:jc w:val="center"/>
      </w:pPr>
      <w:r>
        <w:rPr>
          <w:i/>
          <w:color w:val="505050"/>
          <w:sz w:val="24"/>
        </w:rPr>
        <w:t>Balancing Model Size, Accuracy, Speed, and Explainability Across NLP/Generative AI, Computer Vision, and Tabular Data</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8"/>
              </w:rPr>
              <w:t>Best lightweight NLP</w:t>
            </w:r>
          </w:p>
        </w:tc>
        <w:tc>
          <w:tcPr>
            <w:tcW w:type="dxa" w:w="3564"/>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8"/>
              </w:rPr>
              <w:t>Best practical GenAI</w:t>
            </w:r>
          </w:p>
        </w:tc>
        <w:tc>
          <w:tcPr>
            <w:tcW w:type="dxa" w:w="3564"/>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8"/>
              </w:rPr>
              <w:t>Best balanced vision</w:t>
            </w:r>
          </w:p>
        </w:tc>
        <w:tc>
          <w:tcPr>
            <w:tcW w:type="dxa" w:w="3564"/>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8"/>
              </w:rPr>
              <w:t>Best tabular baseline</w:t>
            </w:r>
          </w:p>
        </w:tc>
      </w:tr>
      <w:tr>
        <w:tc>
          <w:tcPr>
            <w:tcW w:type="dxa" w:w="3564"/>
            <w:vAlign w:val="center"/>
            <w:shd w:fill="EAF2F8"/>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val="0"/>
                <w:color w:val="000000"/>
                <w:sz w:val="17"/>
              </w:rPr>
              <w:t>DistilBERT</w:t>
            </w:r>
            <w:r>
              <w:rPr>
                <w:rFonts w:ascii="Aptos" w:hAnsi="Aptos"/>
              </w:rPr>
              <w:br/>
            </w:r>
            <w:r>
              <w:rPr>
                <w:rFonts w:ascii="Aptos" w:hAnsi="Aptos"/>
                <w:b w:val="0"/>
                <w:color w:val="000000"/>
                <w:sz w:val="17"/>
              </w:rPr>
              <w:t>Fast, small, classification-ready</w:t>
            </w:r>
          </w:p>
        </w:tc>
        <w:tc>
          <w:tcPr>
            <w:tcW w:type="dxa" w:w="3564"/>
            <w:vAlign w:val="center"/>
            <w:shd w:fill="F4ECF7"/>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val="0"/>
                <w:color w:val="000000"/>
                <w:sz w:val="17"/>
              </w:rPr>
              <w:t>Llama 3.1 8B</w:t>
            </w:r>
            <w:r>
              <w:rPr>
                <w:rFonts w:ascii="Aptos" w:hAnsi="Aptos"/>
              </w:rPr>
              <w:br/>
            </w:r>
            <w:r>
              <w:rPr>
                <w:rFonts w:ascii="Aptos" w:hAnsi="Aptos"/>
                <w:b w:val="0"/>
                <w:color w:val="000000"/>
                <w:sz w:val="17"/>
              </w:rPr>
              <w:t>Lower-cost generation and summarization</w:t>
            </w:r>
          </w:p>
        </w:tc>
        <w:tc>
          <w:tcPr>
            <w:tcW w:type="dxa" w:w="3564"/>
            <w:vAlign w:val="center"/>
            <w:shd w:fill="EAF2F8"/>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val="0"/>
                <w:color w:val="000000"/>
                <w:sz w:val="17"/>
              </w:rPr>
              <w:t>ResNet-50</w:t>
            </w:r>
            <w:r>
              <w:rPr>
                <w:rFonts w:ascii="Aptos" w:hAnsi="Aptos"/>
              </w:rPr>
              <w:br/>
            </w:r>
            <w:r>
              <w:rPr>
                <w:rFonts w:ascii="Aptos" w:hAnsi="Aptos"/>
                <w:b w:val="0"/>
                <w:color w:val="000000"/>
                <w:sz w:val="17"/>
              </w:rPr>
              <w:t>Strong transfer-learning baseline</w:t>
            </w:r>
          </w:p>
        </w:tc>
        <w:tc>
          <w:tcPr>
            <w:tcW w:type="dxa" w:w="3564"/>
            <w:vAlign w:val="center"/>
            <w:shd w:fill="EAF7EA"/>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val="0"/>
                <w:color w:val="000000"/>
                <w:sz w:val="17"/>
              </w:rPr>
              <w:t>XGBoost / CatBoost</w:t>
            </w:r>
            <w:r>
              <w:rPr>
                <w:rFonts w:ascii="Aptos" w:hAnsi="Aptos"/>
              </w:rPr>
              <w:br/>
            </w:r>
            <w:r>
              <w:rPr>
                <w:rFonts w:ascii="Aptos" w:hAnsi="Aptos"/>
                <w:b w:val="0"/>
                <w:color w:val="000000"/>
                <w:sz w:val="17"/>
              </w:rPr>
              <w:t>Accurate and explainable structured-data models</w:t>
            </w:r>
          </w:p>
        </w:tc>
      </w:tr>
    </w:tbl>
    <w:p>
      <w:pPr>
        <w:pStyle w:val="Heading1"/>
      </w:pPr>
      <w:r>
        <w:t>Introduction</w:t>
      </w:r>
    </w:p>
    <w:p>
      <w:r>
        <w:t>Selecting a pre-trained AI model is not simply a matter of choosing the model with the highest benchmark score. In real-world AI development, model selection requires a balanced evaluation of accuracy, latency, memory footprint, hardware cost, energy use, integration complexity, and explainability. A very large model may improve reasoning or generation quality, but it can also increase inference cost, reduce deployment speed, and make outputs harder for stakeholders to interpret. A smaller model may be faster and easier to deploy, but it may lose accuracy on complex tasks. This artifact compares representative models across NLP/Generative AI, Computer Vision, and tabular data to support evidence-based model selection.</w:t>
      </w:r>
    </w:p>
    <w:p>
      <w:pPr>
        <w:pStyle w:val="Heading1"/>
      </w:pPr>
      <w:r>
        <w:t>Methodology</w:t>
      </w:r>
    </w:p>
    <w:p>
      <w:r>
        <w:t>The models were selected because they represent common deployment choices across three domains: text, vision, and structured/tabular data. The matrix uses public model cards, benchmark documentation, and peer-reviewed papers. Accuracy is reported using domain-specific benchmarks rather than a single universal metric: MMLU or task accuracy for language models, ImageNet top-1 accuracy for vision models, and ROC AUC/RMSE or reported fit-and-predict time for tabular models. Memory footprint is estimated from the number of parameters when available: FP32 uses about 4 bytes per parameter and FP16/bfloat16 uses about 2 bytes per parameter. Actual deployment memory is higher because of activations, KV cache for LLMs, batching, framework overhead, and fine-tuning requirements.</w:t>
      </w:r>
    </w:p>
    <w:p>
      <w:r>
        <w:br w:type="page"/>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7"/>
              </w:rPr>
              <w:t>Criterion</w:t>
            </w:r>
          </w:p>
        </w:tc>
        <w:tc>
          <w:tcPr>
            <w:tcW w:type="dxa" w:w="475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7"/>
              </w:rPr>
              <w:t>How it was measured</w:t>
            </w:r>
          </w:p>
        </w:tc>
        <w:tc>
          <w:tcPr>
            <w:tcW w:type="dxa" w:w="475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7"/>
              </w:rPr>
              <w:t>Why it matters</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7"/>
              </w:rPr>
              <w:t>Model size</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Parameters, approximate model weight memory, or data-dependent model complexity.</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Smaller models are easier to deploy, cheaper to serve, and usually easier to tune.</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7"/>
              </w:rPr>
              <w:t>Accuracy</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Reported benchmark score or relative benchmark performance in the model source.</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Higher accuracy improves predictive utility, but only when the benchmark matches the use case.</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7"/>
              </w:rPr>
              <w:t>Speed</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Latency, throughput, GFLOPS, or reported fit-and-predict time.</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Faster models are better for real-time systems, edge devices, and cost-sensitive applications.</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7"/>
              </w:rPr>
              <w:t>Explainability</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Ability to explain predictions using SHAP, feature importance, attention analysis, Grad-CAM, or local explanations.</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Explainability matters when decisions affect people, finances, safety, or scientific conclusions.</w:t>
            </w:r>
          </w:p>
        </w:tc>
      </w:tr>
    </w:tbl>
    <w:p>
      <w:pPr>
        <w:jc w:val="center"/>
      </w:pPr>
      <w:r>
        <w:rPr>
          <w:b/>
          <w:sz w:val="18"/>
        </w:rPr>
        <w:t>Figure 1. Parameter scale comparison for selected pre-trained models</w:t>
      </w:r>
    </w:p>
    <w:p>
      <w:pPr>
        <w:jc w:val="center"/>
      </w:pPr>
      <w:r>
        <w:drawing>
          <wp:inline xmlns:a="http://schemas.openxmlformats.org/drawingml/2006/main" xmlns:pic="http://schemas.openxmlformats.org/drawingml/2006/picture">
            <wp:extent cx="7955279" cy="2950167"/>
            <wp:docPr id="1" name="Picture 1"/>
            <wp:cNvGraphicFramePr>
              <a:graphicFrameLocks noChangeAspect="1"/>
            </wp:cNvGraphicFramePr>
            <a:graphic>
              <a:graphicData uri="http://schemas.openxmlformats.org/drawingml/2006/picture">
                <pic:pic>
                  <pic:nvPicPr>
                    <pic:cNvPr id="0" name="model_size_log_chart.png"/>
                    <pic:cNvPicPr/>
                  </pic:nvPicPr>
                  <pic:blipFill>
                    <a:blip r:embed="rId11"/>
                    <a:stretch>
                      <a:fillRect/>
                    </a:stretch>
                  </pic:blipFill>
                  <pic:spPr>
                    <a:xfrm>
                      <a:off x="0" y="0"/>
                      <a:ext cx="7955279" cy="2950167"/>
                    </a:xfrm>
                    <a:prstGeom prst="rect"/>
                  </pic:spPr>
                </pic:pic>
              </a:graphicData>
            </a:graphic>
          </wp:inline>
        </w:drawing>
      </w:r>
    </w:p>
    <w:p>
      <w:pPr>
        <w:jc w:val="center"/>
      </w:pPr>
      <w:r>
        <w:rPr>
          <w:i/>
          <w:sz w:val="16"/>
        </w:rPr>
        <w:t>Note. TabPFN, XGBoost, and CatBoost are not shown because their deployable size is checkpoint- or dataset-dependent rather than a fixed architecture comparison. The x-axis uses a logarithmic scale.</w:t>
      </w:r>
    </w:p>
    <w:p>
      <w:pPr>
        <w:pStyle w:val="Heading2"/>
      </w:pPr>
      <w:r>
        <w:t>Decision Matrix Legend</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shd w:fill="70AD47"/>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000000"/>
                <w:sz w:val="16"/>
              </w:rPr>
              <w:t>Favorable</w:t>
            </w:r>
            <w:r>
              <w:rPr>
                <w:rFonts w:ascii="Aptos" w:hAnsi="Aptos"/>
              </w:rPr>
              <w:br/>
            </w:r>
            <w:r>
              <w:rPr>
                <w:rFonts w:ascii="Aptos" w:hAnsi="Aptos"/>
                <w:b/>
                <w:color w:val="000000"/>
                <w:sz w:val="16"/>
              </w:rPr>
              <w:t>Low burden, strong practical fit</w:t>
            </w:r>
          </w:p>
        </w:tc>
        <w:tc>
          <w:tcPr>
            <w:tcW w:type="dxa" w:w="3564"/>
            <w:vAlign w:val="center"/>
            <w:shd w:fill="FFD966"/>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val="0"/>
                <w:color w:val="000000"/>
                <w:sz w:val="16"/>
              </w:rPr>
              <w:t>Moderate</w:t>
            </w:r>
            <w:r>
              <w:rPr>
                <w:rFonts w:ascii="Aptos" w:hAnsi="Aptos"/>
              </w:rPr>
              <w:br/>
            </w:r>
            <w:r>
              <w:rPr>
                <w:rFonts w:ascii="Aptos" w:hAnsi="Aptos"/>
                <w:b w:val="0"/>
                <w:color w:val="000000"/>
                <w:sz w:val="16"/>
              </w:rPr>
              <w:t>Acceptable but context-dependent</w:t>
            </w:r>
          </w:p>
        </w:tc>
        <w:tc>
          <w:tcPr>
            <w:tcW w:type="dxa" w:w="3564"/>
            <w:vAlign w:val="center"/>
            <w:shd w:fill="F4B183"/>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val="0"/>
                <w:color w:val="000000"/>
                <w:sz w:val="16"/>
              </w:rPr>
              <w:t>Costly</w:t>
            </w:r>
            <w:r>
              <w:rPr>
                <w:rFonts w:ascii="Aptos" w:hAnsi="Aptos"/>
              </w:rPr>
              <w:br/>
            </w:r>
            <w:r>
              <w:rPr>
                <w:rFonts w:ascii="Aptos" w:hAnsi="Aptos"/>
                <w:b w:val="0"/>
                <w:color w:val="000000"/>
                <w:sz w:val="16"/>
              </w:rPr>
              <w:t>High compute, latency, or complexity</w:t>
            </w:r>
          </w:p>
        </w:tc>
        <w:tc>
          <w:tcPr>
            <w:tcW w:type="dxa" w:w="3564"/>
            <w:vAlign w:val="center"/>
            <w:shd w:fill="D9EAD3"/>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val="0"/>
                <w:color w:val="000000"/>
                <w:sz w:val="16"/>
              </w:rPr>
              <w:t>Variable</w:t>
            </w:r>
            <w:r>
              <w:rPr>
                <w:rFonts w:ascii="Aptos" w:hAnsi="Aptos"/>
              </w:rPr>
              <w:br/>
            </w:r>
            <w:r>
              <w:rPr>
                <w:rFonts w:ascii="Aptos" w:hAnsi="Aptos"/>
                <w:b w:val="0"/>
                <w:color w:val="000000"/>
                <w:sz w:val="16"/>
              </w:rPr>
              <w:t>Depends on data/hardware/settings</w:t>
            </w:r>
          </w:p>
        </w:tc>
      </w:tr>
    </w:tbl>
    <w:p>
      <w:r>
        <w:br w:type="page"/>
      </w:r>
    </w:p>
    <w:p>
      <w:pPr>
        <w:pStyle w:val="Heading1"/>
      </w:pPr>
      <w:r>
        <w:t>Decision Matrix: Model Size, Accuracy, Speed, and Explainability</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78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4"/>
              </w:rPr>
              <w:t>Domain</w:t>
            </w:r>
          </w:p>
        </w:tc>
        <w:tc>
          <w:tcPr>
            <w:tcW w:type="dxa" w:w="178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4"/>
              </w:rPr>
              <w:t>Model</w:t>
            </w:r>
          </w:p>
        </w:tc>
        <w:tc>
          <w:tcPr>
            <w:tcW w:type="dxa" w:w="178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4"/>
              </w:rPr>
              <w:t>Model Size / Footprint</w:t>
            </w:r>
          </w:p>
        </w:tc>
        <w:tc>
          <w:tcPr>
            <w:tcW w:type="dxa" w:w="178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4"/>
              </w:rPr>
              <w:t>Accuracy / Benchmark</w:t>
            </w:r>
          </w:p>
        </w:tc>
        <w:tc>
          <w:tcPr>
            <w:tcW w:type="dxa" w:w="178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4"/>
              </w:rPr>
              <w:t>Speed / Compute</w:t>
            </w:r>
          </w:p>
        </w:tc>
        <w:tc>
          <w:tcPr>
            <w:tcW w:type="dxa" w:w="178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4"/>
              </w:rPr>
              <w:t>Explainability</w:t>
            </w:r>
          </w:p>
        </w:tc>
        <w:tc>
          <w:tcPr>
            <w:tcW w:type="dxa" w:w="178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4"/>
              </w:rPr>
              <w:t>Additional Considerations</w:t>
            </w:r>
          </w:p>
        </w:tc>
        <w:tc>
          <w:tcPr>
            <w:tcW w:type="dxa" w:w="178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4"/>
              </w:rPr>
              <w:t>Recommended Scenario</w:t>
            </w:r>
          </w:p>
        </w:tc>
      </w:tr>
      <w:tr>
        <w:tc>
          <w:tcPr>
            <w:tcW w:type="dxa" w:w="1782"/>
            <w:vAlign w:val="center"/>
            <w:shd w:fill="EAF2F8"/>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NLP</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DistilBERT</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66M parameters; about 132 MB FP16 / 264 MB FP32 weights.</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Retains about 97% of BERT language-understanding capability; SST-2 fine-tuned checkpoint reports 91.3% dev accuracy.</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Favorable: reported about 60% faster than BERT-base.</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Moderate: attention/probing, LIME, and SHAP possible, but not inherently transparent.</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Easy Hugging Face integration; good for classification, NER, and QA; not designed for long-form generation.</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Use when text task is narrow and latency/cost matter.</w:t>
            </w:r>
          </w:p>
        </w:tc>
      </w:tr>
      <w:tr>
        <w:tc>
          <w:tcPr>
            <w:tcW w:type="dxa" w:w="1782"/>
            <w:vAlign w:val="center"/>
            <w:shd w:fill="F4ECF7"/>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Generative AI</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Llama 3.1 8B</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8B parameters; about 16 GB FP16/bfloat16 weights before runtime overhead.</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Base MMLU 66.7; instruct MMLU 69.4. Supports 128K context.</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Moderate: feasible on capable single-GPU/quantized setups, but latency depends heavily on hardware and context length.</w:t>
            </w:r>
          </w:p>
        </w:tc>
        <w:tc>
          <w:tcPr>
            <w:tcW w:type="dxa" w:w="1782"/>
            <w:vAlign w:val="center"/>
            <w:shd w:fill="F4B18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Low: generative transformer outputs are difficult to fully explain.</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Open-weight model with strong ecosystem; good cost-capability balance.</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Use for practical chatbots, summarization, code support, and local/cloud GenAI prototypes.</w:t>
            </w:r>
          </w:p>
        </w:tc>
      </w:tr>
      <w:tr>
        <w:tc>
          <w:tcPr>
            <w:tcW w:type="dxa" w:w="1782"/>
            <w:vAlign w:val="center"/>
            <w:shd w:fill="F4ECF7"/>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Generative AI</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Llama 3.1 70B</w:t>
            </w:r>
          </w:p>
        </w:tc>
        <w:tc>
          <w:tcPr>
            <w:tcW w:type="dxa" w:w="1782"/>
            <w:vAlign w:val="center"/>
            <w:shd w:fill="F4B18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70B parameters; about 140 GB FP16/bfloat16 weights before runtime overhead.</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Base MMLU 79.3; instruct MMLU 83.6. Stronger reasoning than 8B.</w:t>
            </w:r>
          </w:p>
        </w:tc>
        <w:tc>
          <w:tcPr>
            <w:tcW w:type="dxa" w:w="1782"/>
            <w:vAlign w:val="center"/>
            <w:shd w:fill="F4B18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Costly: usually requires multi-GPU or optimized inference infrastructure.</w:t>
            </w:r>
          </w:p>
        </w:tc>
        <w:tc>
          <w:tcPr>
            <w:tcW w:type="dxa" w:w="1782"/>
            <w:vAlign w:val="center"/>
            <w:shd w:fill="F4B18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Low: larger black-box model with limited direct interpretability.</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Higher quality, higher cost, higher energy use; better for tool use and complex reasoning.</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Use only when higher reasoning/generation quality justifies infrastructure cost.</w:t>
            </w:r>
          </w:p>
        </w:tc>
      </w:tr>
      <w:tr>
        <w:tc>
          <w:tcPr>
            <w:tcW w:type="dxa" w:w="1782"/>
            <w:vAlign w:val="center"/>
            <w:shd w:fill="EAF2F8"/>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Vision</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MobileNetV3 Large</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5.5M parameters; 0.22 GFLOPS; about 11 MB FP16 / 22 MB FP32 weights.</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ImageNet top-1 75.274% with IMAGENET1K_V2 weights.</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Favorable: optimized for mobile and edge deployment.</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Moderate: Grad-CAM and feature visualization can support visual explanations.</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Low energy and low latency; accuracy lower than larger models.</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Use for real-time mobile, embedded, or edge vision systems.</w:t>
            </w:r>
          </w:p>
        </w:tc>
      </w:tr>
      <w:tr>
        <w:tc>
          <w:tcPr>
            <w:tcW w:type="dxa" w:w="1782"/>
            <w:vAlign w:val="center"/>
            <w:shd w:fill="EAF2F8"/>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Vision</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ResNet-50</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25.6M parameters; 4.09 GFLOPS; about 51 MB FP16 / 102 MB FP32 weights.</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ImageNet top-1 80.858% with IMAGENET1K_V2 weights.</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Moderate: heavier than MobileNet but practical on common GPUs/CPUs.</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Favorable: Grad-CAM works well and architecture is widely understood.</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Mature ecosystem; strong transfer-learning baseline.</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Use as the default balanced vision model for portfolio or applied projects.</w:t>
            </w:r>
          </w:p>
        </w:tc>
      </w:tr>
      <w:tr>
        <w:tc>
          <w:tcPr>
            <w:tcW w:type="dxa" w:w="1782"/>
            <w:vAlign w:val="center"/>
            <w:shd w:fill="EAF2F8"/>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Vision</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ViT-B/16</w:t>
            </w:r>
          </w:p>
        </w:tc>
        <w:tc>
          <w:tcPr>
            <w:tcW w:type="dxa" w:w="1782"/>
            <w:vAlign w:val="center"/>
            <w:shd w:fill="F4B18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86.6M parameters; 17.56 GFLOPS; about 173 MB FP16 / 346 MB FP32 weights.</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ImageNet top-1 81.072% standard; 85.304% with SWAG E2E weights.</w:t>
            </w:r>
          </w:p>
        </w:tc>
        <w:tc>
          <w:tcPr>
            <w:tcW w:type="dxa" w:w="1782"/>
            <w:vAlign w:val="center"/>
            <w:shd w:fill="F4B18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Costly: higher compute than CNN baselines.</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Moderate-low: attention maps help but may not be faithful explanations.</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Strong with large-scale pretraining; more compute- and data-hungry.</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Use when accuracy matters more than latency and compute is available.</w:t>
            </w:r>
          </w:p>
        </w:tc>
      </w:tr>
      <w:tr>
        <w:tc>
          <w:tcPr>
            <w:tcW w:type="dxa" w:w="1782"/>
            <w:vAlign w:val="center"/>
            <w:shd w:fill="EAF7EA"/>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Tabular</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TabPFN v2</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Transformer-based foundation model; model card recommends 16GB+ RAM, CPU supported, GPU optional/recommended.</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Strong on small tabular datasets; Nature reports dominant performance up to 10,000 samples and 500 features.</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Favorable for small data: reported 2.8s classification and 4.8s regression average fit-and-predict time.</w:t>
            </w:r>
          </w:p>
        </w:tc>
        <w:tc>
          <w:tcPr>
            <w:tcW w:type="dxa" w:w="1782"/>
            <w:vAlign w:val="center"/>
            <w:shd w:fill="F4B18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Low-moderate: less transparent than tree ensembles, but supports foundation-model abilities and embedding analysis.</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True tabular foundation model; no heavy task-specific training; scalability limits remain important.</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Use for rapid small-data tabular classification/regression prototypes.</w:t>
            </w:r>
          </w:p>
        </w:tc>
      </w:tr>
      <w:tr>
        <w:tc>
          <w:tcPr>
            <w:tcW w:type="dxa" w:w="1782"/>
            <w:vAlign w:val="center"/>
            <w:shd w:fill="EAF7EA"/>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Tabular baseline</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XGBoost</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Dataset-dependent tree ensemble; no fixed pre-trained parameter count.</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Historically strong structured-data baseline; scalable and effective on sparse/large data.</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Favorable: optimized scalable tree boosting; fast inference after training.</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Favorable: feature importance and SHAP TreeExplainer support.</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Not usually pre-trained, but essential production baseline for tabular ML.</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Use as the first production baseline for structured prediction.</w:t>
            </w:r>
          </w:p>
        </w:tc>
      </w:tr>
      <w:tr>
        <w:tc>
          <w:tcPr>
            <w:tcW w:type="dxa" w:w="1782"/>
            <w:vAlign w:val="center"/>
            <w:shd w:fill="EAF7EA"/>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Tabular baseline</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4"/>
              </w:rPr>
              <w:t>CatBoost</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Dataset-dependent tree ensemble; no fixed pre-trained parameter count.</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Strong on categorical/noisy business data; ordered boosting and categorical processing reduce leakage risk.</w:t>
            </w:r>
          </w:p>
        </w:tc>
        <w:tc>
          <w:tcPr>
            <w:tcW w:type="dxa" w:w="1782"/>
            <w:vAlign w:val="center"/>
            <w:shd w:fill="FFF2CC"/>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Moderate-favorable: efficient scoring, sometimes slower than simpler boosted trees.</w:t>
            </w:r>
          </w:p>
        </w:tc>
        <w:tc>
          <w:tcPr>
            <w:tcW w:type="dxa" w:w="1782"/>
            <w:vAlign w:val="center"/>
            <w:shd w:fill="D9EAD3"/>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Favorable: feature importance and SHAP support.</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Handles categorical features with less preprocessing than XGBoost.</w:t>
            </w:r>
          </w:p>
        </w:tc>
        <w:tc>
          <w:tcPr>
            <w:tcW w:type="dxa" w:w="178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3"/>
              </w:rPr>
              <w:t>Use when categorical variables are central and preprocessing time is limited.</w:t>
            </w:r>
          </w:p>
        </w:tc>
      </w:tr>
    </w:tbl>
    <w:p>
      <w:pPr>
        <w:pStyle w:val="Heading1"/>
      </w:pPr>
      <w:r>
        <w:t>Analysis and Recommendations</w:t>
      </w:r>
    </w:p>
    <w:p>
      <w:pPr>
        <w:pStyle w:val="Heading2"/>
      </w:pPr>
      <w:r>
        <w:t>NLP and Generative AI</w:t>
      </w:r>
    </w:p>
    <w:p>
      <w:r>
        <w:t>DistilBERT is the most efficient language model in the matrix. It is appropriate when the task is focused, such as sentiment analysis, named entity recognition, question answering, or document classification. It is not a generative model, so it should not be selected for open-ended conversation or creative text generation. Llama 3.1 8B and 70B serve different generative AI needs. The 8B version is better for lower-cost deployment and prototyping, while the 70B version is better when stronger reasoning and generation quality justify larger infrastructure costs. The trade-off is that both Llama models have lower direct explainability than DistilBERT and require more careful monitoring.</w:t>
      </w:r>
    </w:p>
    <w:p>
      <w:pPr>
        <w:pStyle w:val="Heading2"/>
      </w:pPr>
      <w:r>
        <w:t>Computer Vision</w:t>
      </w:r>
    </w:p>
    <w:p>
      <w:r>
        <w:t>MobileNetV3 Large is the best option when deployment speed, energy efficiency, and mobile/edge constraints are central. ResNet-50 is the most balanced vision choice because it combines strong ImageNet accuracy, moderate compute, broad library support, and good compatibility with Grad-CAM explanations. ViT-B/16 can offer stronger performance, especially with stronger pretraining, but it requires more compute and is generally less straightforward to interpret than ResNet-style CNNs.</w:t>
      </w:r>
    </w:p>
    <w:p>
      <w:pPr>
        <w:pStyle w:val="Heading2"/>
      </w:pPr>
      <w:r>
        <w:t>Tabular Data</w:t>
      </w:r>
    </w:p>
    <w:p>
      <w:r>
        <w:t>TabPFN v2 is the strongest example of a genuine tabular foundation model in the matrix. It is valuable for rapid prediction on small datasets because it can avoid extensive task-specific training and hyperparameter tuning. However, for production tabular systems, XGBoost and CatBoost remain essential baselines. XGBoost is a strong default for scalable structured-data prediction, while CatBoost is especially useful when categorical variables are central. The tabular trade-off is clear: TabPFN provides foundation-model convenience, while boosted trees usually provide stronger practical explainability and production familiarity.</w:t>
      </w:r>
    </w:p>
    <w:p>
      <w:pPr>
        <w:pStyle w:val="Heading2"/>
      </w:pPr>
      <w:r>
        <w:t>Explainability and Ethical Implications</w:t>
      </w:r>
    </w:p>
    <w:p>
      <w:r>
        <w:t>Explainability should be considered before deployment rather than added only after a model is selected. In high-impact settings such as healthcare, finance, hiring, education, and scientific decision support, a slightly less accurate but more interpretable model may be preferable to a larger black-box model. Choosing the smallest model that meets the performance requirement can also reduce energy consumption, cost, and barriers to responsible monitoring.</w:t>
      </w:r>
    </w:p>
    <w:p>
      <w:pPr>
        <w:pStyle w:val="Heading1"/>
      </w:pPr>
      <w:r>
        <w:t>Recommended Model by Application Scenario</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7"/>
              </w:rPr>
              <w:t>Application Scenario</w:t>
            </w:r>
          </w:p>
        </w:tc>
        <w:tc>
          <w:tcPr>
            <w:tcW w:type="dxa" w:w="475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7"/>
              </w:rPr>
              <w:t>Recommended Model</w:t>
            </w:r>
          </w:p>
        </w:tc>
        <w:tc>
          <w:tcPr>
            <w:tcW w:type="dxa" w:w="4752"/>
            <w:vAlign w:val="center"/>
            <w:shd w:fill="1F4E79"/>
            <w:tcBorders>
              <w:top w:sz="4" w:val="single" w:color="D9E2F3"/>
              <w:left w:sz="4" w:val="single" w:color="D9E2F3"/>
              <w:bottom w:sz="4" w:val="single" w:color="D9E2F3"/>
              <w:right w:sz="4" w:val="single" w:color="D9E2F3"/>
            </w:tcBorders>
          </w:tcPr>
          <w:p>
            <w:pPr>
              <w:spacing w:after="0"/>
              <w:jc w:val="center"/>
            </w:pPr>
            <w:r>
              <w:rPr>
                <w:rFonts w:ascii="Aptos" w:hAnsi="Aptos"/>
              </w:rPr>
            </w:r>
            <w:r>
              <w:rPr>
                <w:rFonts w:ascii="Aptos" w:hAnsi="Aptos"/>
                <w:b/>
                <w:color w:val="FFFFFF"/>
                <w:sz w:val="17"/>
              </w:rPr>
              <w:t>Reason</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Fast text classification or sentiment analysis</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6"/>
              </w:rPr>
              <w:t>DistilBERT</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Best balance of NLP accuracy, latency, memory footprint, and ease of integration.</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Lower-cost chatbot or summarization assistant</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6"/>
              </w:rPr>
              <w:t>Llama 3.1 8B</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Good generative capability with more practical deployment requirements than larger LLMs.</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High-quality enterprise GenAI assistant</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6"/>
              </w:rPr>
              <w:t>Llama 3.1 70B</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Stronger reasoning and generation, but only when infrastructure budget supports it.</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Real-time mobile or embedded image classification</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6"/>
              </w:rPr>
              <w:t>MobileNetV3 Large</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Very low GFLOPS and small parameter count make it suitable for edge deployment.</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General computer vision transfer-learning project</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6"/>
              </w:rPr>
              <w:t>ResNet-50</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Strong baseline accuracy, mature ecosystem, and accessible visual explanation methods.</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High-accuracy research vision system</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6"/>
              </w:rPr>
              <w:t>ViT-B/16</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Useful when compute is available and accuracy is prioritized over speed.</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Small-data tabular prototype</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6"/>
              </w:rPr>
              <w:t>TabPFN v2</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Fast foundation-model inference for small tabular classification/regression.</w:t>
            </w:r>
          </w:p>
        </w:tc>
      </w:tr>
      <w:tr>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Production structured-data prediction</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color w:val="000000"/>
                <w:sz w:val="16"/>
              </w:rPr>
              <w:t>XGBoost or CatBoost</w:t>
            </w:r>
          </w:p>
        </w:tc>
        <w:tc>
          <w:tcPr>
            <w:tcW w:type="dxa" w:w="4752"/>
            <w:vAlign w:val="center"/>
            <w:tcBorders>
              <w:top w:sz="4" w:val="single" w:color="D9E2F3"/>
              <w:left w:sz="4" w:val="single" w:color="D9E2F3"/>
              <w:bottom w:sz="4" w:val="single" w:color="D9E2F3"/>
              <w:right w:sz="4" w:val="single" w:color="D9E2F3"/>
            </w:tcBorders>
          </w:tcPr>
          <w:p>
            <w:pPr>
              <w:spacing w:after="0"/>
            </w:pPr>
            <w:r>
              <w:rPr>
                <w:rFonts w:ascii="Aptos" w:hAnsi="Aptos"/>
              </w:rPr>
            </w:r>
            <w:r>
              <w:rPr>
                <w:rFonts w:ascii="Aptos" w:hAnsi="Aptos"/>
                <w:b w:val="0"/>
                <w:color w:val="000000"/>
                <w:sz w:val="16"/>
              </w:rPr>
              <w:t>Strong performance, scalability, and better explainability with SHAP/feature importance.</w:t>
            </w:r>
          </w:p>
        </w:tc>
      </w:tr>
    </w:tbl>
    <w:p>
      <w:pPr>
        <w:pStyle w:val="Heading1"/>
      </w:pPr>
      <w:r>
        <w:t>Portfolio Integration</w:t>
      </w:r>
    </w:p>
    <w:p>
      <w:r>
        <w:t>This artifact should be added to the Artifacts section of the professional portfolio as a visual decision-support tool. It demonstrates the ability to evaluate pre-trained models across domains, compare benchmark metrics, understand deployment trade-offs, and communicate technical decisions clearly to both technical and non-technical audiences.</w:t>
      </w:r>
    </w:p>
    <w:p>
      <w:pPr>
        <w:pStyle w:val="Heading1"/>
      </w:pPr>
      <w:r>
        <w:t>Artifact-Specific Value Proposition</w:t>
      </w:r>
    </w:p>
    <w:p>
      <w:r>
        <w:t>This artifact showcases applied AI/ML judgment rather than isolated model knowledge. It demonstrates competency in algorithm selection, transfer learning awareness, performance validation, explainability analysis, and deployment-oriented decision-making. The artifact is relevant to AI engineering, data analytics, computational science, and model development roles because these roles require choosing models that are accurate, efficient, explainable, and feasible to deploy.</w:t>
      </w:r>
    </w:p>
    <w:p>
      <w:pPr>
        <w:pStyle w:val="Heading1"/>
      </w:pPr>
      <w:r>
        <w:t>Customization for Audience</w:t>
      </w:r>
    </w:p>
    <w:p>
      <w:r>
        <w:t>The artifact was customized for a professional portfolio audience by using a color-coded matrix, concise executive recommendations, and domain-specific interpretation. Technical details such as parameter count, benchmark score, and GFLOPS are included, but the recommendations are written so business stakeholders, instructors, and hiring managers can understand why one model may be preferred over another.</w:t>
      </w:r>
    </w:p>
    <w:p>
      <w:pPr>
        <w:pStyle w:val="Heading1"/>
      </w:pPr>
      <w:r>
        <w:t>Reflection</w:t>
      </w:r>
    </w:p>
    <w:p>
      <w:r>
        <w:t>This artifact was chosen because model selection is a central skill in applied machine learning. The process reinforced that the largest or newest model is not automatically the best model. A responsible AI practitioner must consider performance, cost, latency, hardware, energy use, and explainability together. The most important lesson learned is that practical model selection depends on the use case, not benchmark rankings alone.</w:t>
      </w:r>
    </w:p>
    <w:p>
      <w:pPr>
        <w:pStyle w:val="Heading1"/>
      </w:pPr>
      <w:r>
        <w:t>Feedback and Revisions</w:t>
      </w:r>
    </w:p>
    <w:p>
      <w:r>
        <w:t>Recommended future revisions include adding instructor feedback, replacing relative latency ratings with hardware-specific latency tests, and expanding the matrix with additional models such as RoBERTa, EfficientNet, ConvNeXt, LightGBM, or newer tabular foundation models. If the artifact is converted into an infographic, the matrix can be simplified into three visual panels: NLP/Generative AI, Computer Vision, and Tabular Data.</w:t>
      </w:r>
    </w:p>
    <w:p>
      <w:r>
        <w:rPr>
          <w:b/>
        </w:rPr>
        <w:t xml:space="preserve">AI Use Disclosure: </w:t>
      </w:r>
      <w:r>
        <w:t>This artifact was drafted with AI assistance and revised using source-based verification. The final content should be reviewed by the student for accuracy, voice, formatting, and alignment with instructor expectations before submission.</w:t>
      </w:r>
    </w:p>
    <w:p>
      <w:pPr>
        <w:pStyle w:val="Heading1"/>
      </w:pPr>
      <w:r>
        <w:t>References</w:t>
      </w:r>
    </w:p>
    <w:p>
      <w:pPr>
        <w:ind w:left="432" w:hanging="432"/>
      </w:pPr>
      <w:r>
        <w:rPr>
          <w:sz w:val="17"/>
        </w:rPr>
        <w:t>Chen, T., &amp; Guestrin, C. (2016). XGBoost: A scalable tree boosting system. Proceedings of the 22nd ACM SIGKDD International Conference on Knowledge Discovery and Data Mining. https://doi.org/10.1145/2939672.2939785</w:t>
      </w:r>
    </w:p>
    <w:p>
      <w:pPr>
        <w:ind w:left="432" w:hanging="432"/>
      </w:pPr>
      <w:r>
        <w:rPr>
          <w:sz w:val="17"/>
        </w:rPr>
        <w:t>Hollmann, N., Muller, S., Purucker, L., Krishnakumar, A., Korfer, M., Hoo, S. B., Schirrmeister, R. T., &amp; Hutter, F. (2025). Accurate predictions on small data with a tabular foundation model. Nature. https://doi.org/10.1038/s41586-024-08328-6</w:t>
      </w:r>
    </w:p>
    <w:p>
      <w:pPr>
        <w:ind w:left="432" w:hanging="432"/>
      </w:pPr>
      <w:r>
        <w:rPr>
          <w:sz w:val="17"/>
        </w:rPr>
        <w:t>Hugging Face. (n.d.). DistilBERT base model (uncased). https://huggingface.co/distilbert/distilbert-base-uncased</w:t>
      </w:r>
    </w:p>
    <w:p>
      <w:pPr>
        <w:ind w:left="432" w:hanging="432"/>
      </w:pPr>
      <w:r>
        <w:rPr>
          <w:sz w:val="17"/>
        </w:rPr>
        <w:t>Hugging Face. (n.d.). DistilBERT base uncased fine-tuned SST-2 English. https://huggingface.co/distilbert/distilbert-base-uncased-finetuned-sst-2-english</w:t>
      </w:r>
    </w:p>
    <w:p>
      <w:pPr>
        <w:ind w:left="432" w:hanging="432"/>
      </w:pPr>
      <w:r>
        <w:rPr>
          <w:sz w:val="17"/>
        </w:rPr>
        <w:t>Lundberg, S. M., Erion, G. G., &amp; Lee, S.-I. (2018). Consistent individualized feature attribution for tree ensembles. arXiv. https://arxiv.org/abs/1802.03888</w:t>
      </w:r>
    </w:p>
    <w:p>
      <w:pPr>
        <w:ind w:left="432" w:hanging="432"/>
      </w:pPr>
      <w:r>
        <w:rPr>
          <w:sz w:val="17"/>
        </w:rPr>
        <w:t>Meta. (2024). Llama 3.1 model card. https://huggingface.co/meta-llama/Llama-3.1-8B</w:t>
      </w:r>
    </w:p>
    <w:p>
      <w:pPr>
        <w:ind w:left="432" w:hanging="432"/>
      </w:pPr>
      <w:r>
        <w:rPr>
          <w:sz w:val="17"/>
        </w:rPr>
        <w:t>Prior Labs. (2025). TabPFN v2: A tabular foundation model. https://huggingface.co/Prior-Labs/TabPFN-v2-clf</w:t>
      </w:r>
    </w:p>
    <w:p>
      <w:pPr>
        <w:ind w:left="432" w:hanging="432"/>
      </w:pPr>
      <w:r>
        <w:rPr>
          <w:sz w:val="17"/>
        </w:rPr>
        <w:t>Prokhorenkova, L., Gusev, G., Vorobev, A., Dorogush, A. V., &amp; Gulin, A. (2018). CatBoost: Unbiased boosting with categorical features. Advances in Neural Information Processing Systems.</w:t>
      </w:r>
    </w:p>
    <w:p>
      <w:pPr>
        <w:ind w:left="432" w:hanging="432"/>
      </w:pPr>
      <w:r>
        <w:rPr>
          <w:sz w:val="17"/>
        </w:rPr>
        <w:t>PyTorch. (n.d.). Models and pre-trained weights. TorchVision documentation. https://docs.pytorch.org/vision/main/models.html</w:t>
      </w:r>
    </w:p>
    <w:p>
      <w:pPr>
        <w:ind w:left="432" w:hanging="432"/>
      </w:pPr>
      <w:r>
        <w:rPr>
          <w:sz w:val="17"/>
        </w:rPr>
        <w:t>Sanh, V., Debut, L., Chaumond, J., &amp; Wolf, T. (2019). DistilBERT, a distilled version of BERT: Smaller, faster, cheaper and lighter. arXiv. https://arxiv.org/abs/1910.01108</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for applied AI/ML portfolio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Professional Portfolio Artifact | Pre-Trained Model Decision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