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40"/>
        </w:rPr>
        <w:t>Explainable AI and Trustworthy LLMs</w:t>
      </w:r>
    </w:p>
    <w:p>
      <w:pPr>
        <w:jc w:val="center"/>
      </w:pPr>
      <w:r>
        <w:rPr>
          <w:sz w:val="22"/>
        </w:rPr>
        <w:t>Explanatory Document for Professional Portfolio Artifact 6</w:t>
      </w:r>
    </w:p>
    <w:p>
      <w:r>
        <w:rPr>
          <w:b/>
        </w:rPr>
        <w:t xml:space="preserve">Artifact Focus: </w:t>
      </w:r>
      <w:r>
        <w:t>Explainable AI, validation processes, and performance metrics for generative AI systems such as GPT, Claude, Gemini, and LLaMA.</w:t>
      </w:r>
    </w:p>
    <w:p>
      <w:r>
        <w:rPr>
          <w:rFonts w:ascii="Aptos Display" w:hAnsi="Aptos Display" w:eastAsia="Aptos Display"/>
          <w:b/>
          <w:sz w:val="28"/>
        </w:rPr>
        <w:t>Explanatory Summary</w:t>
      </w:r>
    </w:p>
    <w:p>
      <w:pPr>
        <w:spacing w:line="259" w:lineRule="auto"/>
        <w:jc w:val="left"/>
      </w:pPr>
      <w:r>
        <w:t>The visual artifact explains why explainable AI is essential for responsible use of large language models. LLMs can produce helpful outputs, but their decisions are difficult to interpret because they emerge from complex, distributed internal patterns rather than simple rules. The infographic highlights key obstacles including model opacity, post-hoc explanations that may not faithfully represent the model’s true internal process, hallucinations, bias from imperfect training data, audience mismatch, and regulatory expectations in high-stakes settings. It also summarizes current industry approaches such as model and system cards, mechanistic interpretability, sparse autoencoders, natural-language explanations of activations, retrieval-based grounding, red teaming, and safety evaluations.</w:t>
      </w:r>
    </w:p>
    <w:p>
      <w:pPr>
        <w:spacing w:line="259" w:lineRule="auto"/>
        <w:jc w:val="left"/>
      </w:pPr>
      <w:r>
        <w:t>The design connects explainability with validation and performance metrics because trust depends on both understanding and evidence. Explainability helps users ask why a model produced a response, while validation tests whether that response is reliable, fair, safe, and useful across real-world conditions. Metrics such as accuracy, factuality, hallucination rate, precision, recall, calibration, robustness, toxicity, over-refusal rate, fairness measures, and human expert evaluation make AI performance measurable rather than assumed. The artifact uses a clean slide format, color-coded sections, and short non-technical labels so employers, instructors, and interdisciplinary stakeholders can quickly understand how transparency, testing, and monitoring work together to support trustworthy AI deployment.</w:t>
      </w:r>
    </w:p>
    <w:p>
      <w:r>
        <w:rPr>
          <w:rFonts w:ascii="Aptos Display" w:hAnsi="Aptos Display" w:eastAsia="Aptos Display"/>
          <w:b/>
          <w:sz w:val="28"/>
        </w:rPr>
        <w:t>Portfolio Value</w:t>
      </w:r>
    </w:p>
    <w:p>
      <w:r>
        <w:rPr>
          <w:b/>
        </w:rPr>
        <w:t xml:space="preserve">Unique value: </w:t>
      </w:r>
      <w:r>
        <w:t>This artifact demonstrates the ability to translate advanced AI governance concepts into a practical framework for non-technical audiences.</w:t>
      </w:r>
    </w:p>
    <w:p>
      <w:r>
        <w:rPr>
          <w:b/>
        </w:rPr>
        <w:t xml:space="preserve">Professional relevance: </w:t>
      </w:r>
      <w:r>
        <w:t>It supports a portfolio aimed at AI/ML, data analytics, computational science, and responsible technology roles by showing awareness of model reliability, validation, bias, and accountable deployment.</w:t>
      </w:r>
    </w:p>
    <w:p>
      <w:r>
        <w:rPr>
          <w:rFonts w:ascii="Aptos Display" w:hAnsi="Aptos Display" w:eastAsia="Aptos Display"/>
          <w:b/>
          <w:sz w:val="28"/>
        </w:rPr>
        <w:t>References</w:t>
      </w:r>
    </w:p>
    <w:p>
      <w:pPr>
        <w:spacing w:after="60"/>
        <w:ind w:left="504" w:hanging="504"/>
      </w:pPr>
      <w:r>
        <w:rPr>
          <w:sz w:val="18"/>
        </w:rPr>
        <w:t>Anthropic. (2026). Natural Language Autoencoders: Turning Claude’s thoughts into text. https://www.anthropic.com/research/natural-language-autoencoders</w:t>
      </w:r>
    </w:p>
    <w:p>
      <w:pPr>
        <w:spacing w:after="60"/>
        <w:ind w:left="504" w:hanging="504"/>
      </w:pPr>
      <w:r>
        <w:rPr>
          <w:sz w:val="18"/>
        </w:rPr>
        <w:t>Google AI for Developers. (2025). Gemma Scope. https://ai.google.dev/gemma/docs/gemma_scope</w:t>
      </w:r>
    </w:p>
    <w:p>
      <w:pPr>
        <w:spacing w:after="60"/>
        <w:ind w:left="504" w:hanging="504"/>
      </w:pPr>
      <w:r>
        <w:rPr>
          <w:sz w:val="18"/>
        </w:rPr>
        <w:t>Google DeepMind. (2024). Gemma Scope: Helping the safety community shed light on the inner workings of language models. https://deepmind.google/blog/gemma-scope-helping-the-safety-community-shed-light-on-the-inner-workings-of-language-models/</w:t>
      </w:r>
    </w:p>
    <w:p>
      <w:pPr>
        <w:spacing w:after="60"/>
        <w:ind w:left="504" w:hanging="504"/>
      </w:pPr>
      <w:r>
        <w:rPr>
          <w:sz w:val="18"/>
        </w:rPr>
        <w:t>Meta AI. (2024). Our responsible approach to Meta AI and Meta Llama 3. https://ai.meta.com/blog/meta-llama-3-meta-ai-responsibility/</w:t>
      </w:r>
    </w:p>
    <w:p>
      <w:pPr>
        <w:spacing w:after="60"/>
        <w:ind w:left="504" w:hanging="504"/>
      </w:pPr>
      <w:r>
        <w:rPr>
          <w:sz w:val="18"/>
        </w:rPr>
        <w:t>National Institute of Standards and Technology. (2023). Artificial Intelligence Risk Management Framework (AI RMF 1.0). https://airc.nist.gov/airmf-resources/airmf/3-sec-characteristics/</w:t>
      </w:r>
    </w:p>
    <w:p>
      <w:pPr>
        <w:spacing w:after="60"/>
        <w:ind w:left="504" w:hanging="504"/>
      </w:pPr>
      <w:r>
        <w:rPr>
          <w:sz w:val="18"/>
        </w:rPr>
        <w:t>OpenAI. (2024). GPT-4o System Card. https://openai.com/index/gpt-4o-system-card/</w:t>
      </w:r>
    </w:p>
    <w:p>
      <w:pPr>
        <w:spacing w:after="60"/>
        <w:ind w:left="504" w:hanging="504"/>
      </w:pPr>
      <w:r>
        <w:rPr>
          <w:sz w:val="18"/>
        </w:rPr>
        <w:t>OpenAI. (2025). GPT-5 System Card. https://cdn.openai.com/gpt-5-system-card.pdf</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