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F2A36" w14:textId="77777777" w:rsidR="006845DB" w:rsidRPr="00206649" w:rsidRDefault="006845DB" w:rsidP="007157AD">
      <w:pPr>
        <w:jc w:val="both"/>
        <w:rPr>
          <w:rFonts w:ascii="Calibri" w:eastAsia="Times New Roman" w:hAnsi="Calibri" w:cs="Times New Roman"/>
          <w:b/>
          <w:sz w:val="22"/>
        </w:rPr>
      </w:pPr>
      <w:r w:rsidRPr="00206649">
        <w:rPr>
          <w:rFonts w:ascii="Calibri" w:eastAsia="Times New Roman" w:hAnsi="Calibri" w:cs="Times New Roman"/>
          <w:b/>
          <w:sz w:val="22"/>
        </w:rPr>
        <w:t>Reply to editors</w:t>
      </w:r>
    </w:p>
    <w:p w14:paraId="15F3521B" w14:textId="77777777" w:rsidR="006845DB" w:rsidRPr="00206649" w:rsidRDefault="006845DB" w:rsidP="007157AD">
      <w:pPr>
        <w:jc w:val="both"/>
        <w:rPr>
          <w:rFonts w:ascii="Calibri" w:eastAsia="Times New Roman" w:hAnsi="Calibri" w:cs="Times New Roman"/>
          <w:sz w:val="22"/>
        </w:rPr>
      </w:pPr>
    </w:p>
    <w:p w14:paraId="32A18C48" w14:textId="77777777" w:rsidR="006845DB" w:rsidRPr="00206649" w:rsidRDefault="006845DB" w:rsidP="007157AD">
      <w:pPr>
        <w:jc w:val="both"/>
        <w:rPr>
          <w:rFonts w:ascii="Calibri" w:eastAsia="Times New Roman" w:hAnsi="Calibri" w:cs="Times New Roman"/>
          <w:sz w:val="22"/>
        </w:rPr>
      </w:pPr>
      <w:r w:rsidRPr="00206649">
        <w:rPr>
          <w:rFonts w:ascii="Calibri" w:eastAsia="Times New Roman" w:hAnsi="Calibri" w:cs="Times New Roman"/>
          <w:sz w:val="22"/>
        </w:rPr>
        <w:t xml:space="preserve">We thank the editorial board for the opportunity to revise our manuscript. Our responses to the editors’ comments are outlined below in regular font with editor/reviewer’s comments in bold font. </w:t>
      </w:r>
    </w:p>
    <w:p w14:paraId="7A8F8204" w14:textId="77777777" w:rsidR="006845DB" w:rsidRPr="00206649" w:rsidRDefault="006845DB" w:rsidP="007157AD">
      <w:pPr>
        <w:pStyle w:val="PlainText"/>
        <w:jc w:val="both"/>
        <w:rPr>
          <w:b/>
          <w:szCs w:val="22"/>
        </w:rPr>
      </w:pPr>
    </w:p>
    <w:p w14:paraId="6E7BC7D0" w14:textId="77777777" w:rsidR="006845DB" w:rsidRPr="00206649" w:rsidRDefault="006845DB" w:rsidP="007157AD">
      <w:pPr>
        <w:pStyle w:val="PlainText"/>
        <w:jc w:val="both"/>
        <w:rPr>
          <w:b/>
          <w:szCs w:val="22"/>
        </w:rPr>
      </w:pPr>
      <w:r w:rsidRPr="00206649">
        <w:rPr>
          <w:b/>
          <w:szCs w:val="22"/>
        </w:rPr>
        <w:t>Two reviewers have recommended revisions to your manuscript.  Therefore, I invite you to respond to the reviewers' comments and revise your manuscript. Please remember that the reviewers' comments and the previous drafts of your manuscript will be published as supplementary information alongside the final version.</w:t>
      </w:r>
    </w:p>
    <w:p w14:paraId="1DAD7A37" w14:textId="77777777" w:rsidR="006845DB" w:rsidRPr="00206649" w:rsidRDefault="006845DB" w:rsidP="007157AD">
      <w:pPr>
        <w:pStyle w:val="PlainText"/>
        <w:jc w:val="both"/>
        <w:rPr>
          <w:b/>
          <w:szCs w:val="22"/>
        </w:rPr>
      </w:pPr>
    </w:p>
    <w:p w14:paraId="23364901" w14:textId="463B2467" w:rsidR="006845DB" w:rsidRPr="00206649" w:rsidRDefault="006845DB" w:rsidP="007157AD">
      <w:pPr>
        <w:pStyle w:val="PlainText"/>
        <w:jc w:val="both"/>
        <w:rPr>
          <w:b/>
          <w:szCs w:val="22"/>
        </w:rPr>
      </w:pPr>
      <w:r w:rsidRPr="00206649">
        <w:rPr>
          <w:b/>
          <w:szCs w:val="22"/>
        </w:rPr>
        <w:t>In addition to the above, please address the editorial requests towards the end of this letter</w:t>
      </w:r>
    </w:p>
    <w:p w14:paraId="65F05C48" w14:textId="4AA0DEF8" w:rsidR="006845DB" w:rsidRPr="00206649" w:rsidRDefault="006845DB" w:rsidP="007157AD">
      <w:pPr>
        <w:pStyle w:val="PlainText"/>
        <w:jc w:val="both"/>
        <w:rPr>
          <w:b/>
          <w:szCs w:val="22"/>
        </w:rPr>
      </w:pPr>
    </w:p>
    <w:p w14:paraId="0070F696" w14:textId="77777777" w:rsidR="006845DB" w:rsidRPr="00206649" w:rsidRDefault="006845DB" w:rsidP="007157AD">
      <w:pPr>
        <w:pStyle w:val="PlainText"/>
        <w:jc w:val="both"/>
        <w:rPr>
          <w:b/>
          <w:szCs w:val="22"/>
        </w:rPr>
      </w:pPr>
      <w:r w:rsidRPr="00206649">
        <w:rPr>
          <w:b/>
          <w:szCs w:val="22"/>
        </w:rPr>
        <w:t>Editorial Requests:</w:t>
      </w:r>
    </w:p>
    <w:p w14:paraId="08B07E09" w14:textId="77777777" w:rsidR="006845DB" w:rsidRPr="00206649" w:rsidRDefault="006845DB" w:rsidP="007157AD">
      <w:pPr>
        <w:pStyle w:val="PlainText"/>
        <w:jc w:val="both"/>
        <w:rPr>
          <w:b/>
          <w:szCs w:val="22"/>
        </w:rPr>
      </w:pPr>
    </w:p>
    <w:p w14:paraId="75DFD2D2" w14:textId="1CC883D1" w:rsidR="006845DB" w:rsidRPr="00206649" w:rsidRDefault="006845DB" w:rsidP="007157AD">
      <w:pPr>
        <w:pStyle w:val="PlainText"/>
        <w:jc w:val="both"/>
        <w:rPr>
          <w:b/>
          <w:szCs w:val="22"/>
        </w:rPr>
      </w:pPr>
      <w:r w:rsidRPr="00206649">
        <w:rPr>
          <w:b/>
          <w:szCs w:val="22"/>
        </w:rPr>
        <w:t>- Please revise your title so that it includes your study design. This is the preferred format for the journal.</w:t>
      </w:r>
    </w:p>
    <w:p w14:paraId="5375A086" w14:textId="5DBEF8CD" w:rsidR="003276E2" w:rsidRPr="00206649" w:rsidRDefault="003276E2" w:rsidP="007157AD">
      <w:pPr>
        <w:pStyle w:val="PlainText"/>
        <w:jc w:val="both"/>
        <w:rPr>
          <w:szCs w:val="22"/>
        </w:rPr>
      </w:pPr>
      <w:r w:rsidRPr="00206649">
        <w:rPr>
          <w:szCs w:val="22"/>
        </w:rPr>
        <w:t>We have included the study design in the title. It now reads:</w:t>
      </w:r>
    </w:p>
    <w:p w14:paraId="7BC8197E" w14:textId="77777777" w:rsidR="003276E2" w:rsidRPr="00206649" w:rsidRDefault="003276E2" w:rsidP="007157AD">
      <w:pPr>
        <w:pStyle w:val="PlainText"/>
        <w:jc w:val="both"/>
        <w:rPr>
          <w:szCs w:val="22"/>
        </w:rPr>
      </w:pPr>
    </w:p>
    <w:p w14:paraId="2B5EAFB5" w14:textId="10915DFA" w:rsidR="003276E2" w:rsidRPr="00206649" w:rsidRDefault="003276E2" w:rsidP="007157AD">
      <w:pPr>
        <w:pStyle w:val="PlainText"/>
        <w:jc w:val="both"/>
        <w:rPr>
          <w:i/>
          <w:szCs w:val="22"/>
        </w:rPr>
      </w:pPr>
      <w:r w:rsidRPr="00206649">
        <w:rPr>
          <w:i/>
          <w:szCs w:val="22"/>
        </w:rPr>
        <w:t xml:space="preserve">“Inequalities and deterioration in average lifespan among adults in Mexico, 1990-2015:  A </w:t>
      </w:r>
      <w:r w:rsidR="00040AC9" w:rsidRPr="00206649">
        <w:rPr>
          <w:i/>
          <w:szCs w:val="22"/>
        </w:rPr>
        <w:t xml:space="preserve">cross-sectional </w:t>
      </w:r>
      <w:r w:rsidRPr="00206649">
        <w:rPr>
          <w:i/>
          <w:szCs w:val="22"/>
        </w:rPr>
        <w:t>demographic cause-of-death analysis”</w:t>
      </w:r>
    </w:p>
    <w:p w14:paraId="5F4B80D0" w14:textId="645A42BE" w:rsidR="006845DB" w:rsidRPr="00206649" w:rsidRDefault="006845DB" w:rsidP="007157AD">
      <w:pPr>
        <w:pStyle w:val="PlainText"/>
        <w:jc w:val="both"/>
        <w:rPr>
          <w:b/>
          <w:szCs w:val="22"/>
        </w:rPr>
      </w:pPr>
    </w:p>
    <w:p w14:paraId="26A7A66F" w14:textId="4DBB0FF7" w:rsidR="006845DB" w:rsidRPr="00206649" w:rsidRDefault="006845DB" w:rsidP="007157AD">
      <w:pPr>
        <w:pStyle w:val="PlainText"/>
        <w:jc w:val="both"/>
        <w:rPr>
          <w:b/>
          <w:szCs w:val="22"/>
        </w:rPr>
      </w:pPr>
      <w:r w:rsidRPr="00206649">
        <w:rPr>
          <w:b/>
          <w:szCs w:val="22"/>
        </w:rPr>
        <w:t>- Please include the study's sample size in the abstract.</w:t>
      </w:r>
    </w:p>
    <w:p w14:paraId="1C604FF9" w14:textId="5984E876" w:rsidR="003276E2" w:rsidRPr="00206649" w:rsidRDefault="003276E2" w:rsidP="007157AD">
      <w:pPr>
        <w:pStyle w:val="PlainText"/>
        <w:jc w:val="both"/>
        <w:rPr>
          <w:szCs w:val="22"/>
        </w:rPr>
      </w:pPr>
      <w:r w:rsidRPr="00206649">
        <w:rPr>
          <w:szCs w:val="22"/>
        </w:rPr>
        <w:t>We study the national population of Mexico by sex, i.e. we do not work with a sample. However, we now state the size of the population of Mexico when the period of started and when it finished. The section of participants in the abstract now reads:</w:t>
      </w:r>
    </w:p>
    <w:p w14:paraId="6A73C810" w14:textId="77777777" w:rsidR="003276E2" w:rsidRPr="00206649" w:rsidRDefault="003276E2" w:rsidP="007157AD">
      <w:pPr>
        <w:pStyle w:val="PlainText"/>
        <w:jc w:val="both"/>
        <w:rPr>
          <w:szCs w:val="22"/>
        </w:rPr>
      </w:pPr>
    </w:p>
    <w:p w14:paraId="7CEC6D7B" w14:textId="6132FA81" w:rsidR="003276E2" w:rsidRPr="00206649" w:rsidRDefault="003276E2" w:rsidP="007157AD">
      <w:pPr>
        <w:pStyle w:val="PlainText"/>
        <w:jc w:val="both"/>
        <w:rPr>
          <w:b/>
          <w:szCs w:val="22"/>
        </w:rPr>
      </w:pPr>
      <w:r w:rsidRPr="00206649">
        <w:rPr>
          <w:i/>
          <w:szCs w:val="22"/>
        </w:rPr>
        <w:t>“Aggregated national data (from 91.2 million people in 1995 to 119.9 million in 2015) grouped in</w:t>
      </w:r>
      <w:r w:rsidRPr="00206649">
        <w:rPr>
          <w:b/>
          <w:i/>
          <w:szCs w:val="22"/>
        </w:rPr>
        <w:t xml:space="preserve"> </w:t>
      </w:r>
      <w:r w:rsidRPr="00206649">
        <w:rPr>
          <w:i/>
          <w:szCs w:val="22"/>
        </w:rPr>
        <w:t>64 populations (32 Mexican-states</w:t>
      </w:r>
      <w:r w:rsidR="00F52BFE" w:rsidRPr="00206649">
        <w:rPr>
          <w:i/>
          <w:szCs w:val="22"/>
        </w:rPr>
        <w:t xml:space="preserve"> </w:t>
      </w:r>
      <w:r w:rsidR="00F52BFE" w:rsidRPr="00206649">
        <w:rPr>
          <w:szCs w:val="22"/>
        </w:rPr>
        <w:t>[including Mexico City]</w:t>
      </w:r>
      <w:r w:rsidRPr="00206649">
        <w:rPr>
          <w:i/>
          <w:szCs w:val="22"/>
        </w:rPr>
        <w:t xml:space="preserve"> by sex) with data on causes of death.</w:t>
      </w:r>
      <w:r w:rsidRPr="00206649">
        <w:rPr>
          <w:szCs w:val="22"/>
        </w:rPr>
        <w:t>”</w:t>
      </w:r>
    </w:p>
    <w:p w14:paraId="48E206F3" w14:textId="644AB0FD" w:rsidR="003276E2" w:rsidRPr="00206649" w:rsidRDefault="003276E2" w:rsidP="007157AD">
      <w:pPr>
        <w:pStyle w:val="PlainText"/>
        <w:jc w:val="both"/>
        <w:rPr>
          <w:szCs w:val="22"/>
        </w:rPr>
      </w:pPr>
    </w:p>
    <w:p w14:paraId="1912FBE7" w14:textId="77777777" w:rsidR="006845DB" w:rsidRPr="00206649" w:rsidRDefault="006845DB" w:rsidP="007157AD">
      <w:pPr>
        <w:pStyle w:val="PlainText"/>
        <w:jc w:val="both"/>
        <w:rPr>
          <w:b/>
          <w:szCs w:val="22"/>
        </w:rPr>
      </w:pPr>
      <w:bookmarkStart w:id="0" w:name="_GoBack"/>
      <w:bookmarkEnd w:id="0"/>
    </w:p>
    <w:p w14:paraId="08A8ADFE" w14:textId="2717ECC1" w:rsidR="006845DB" w:rsidRPr="00206649" w:rsidRDefault="006845DB" w:rsidP="007157AD">
      <w:pPr>
        <w:pStyle w:val="PlainText"/>
        <w:jc w:val="both"/>
        <w:rPr>
          <w:b/>
          <w:szCs w:val="22"/>
        </w:rPr>
      </w:pPr>
      <w:r w:rsidRPr="00206649">
        <w:rPr>
          <w:b/>
          <w:szCs w:val="22"/>
        </w:rPr>
        <w:t xml:space="preserve">- The first bullet point of the 'strengths and limitations' section is not a strength or limitation of the study. Please remove or revise. Each bullet point should relate to the methods and/ or design of the study. </w:t>
      </w:r>
    </w:p>
    <w:p w14:paraId="5BE275F6" w14:textId="20A8BB1D" w:rsidR="00084FDF" w:rsidRPr="00206649" w:rsidRDefault="00084FDF" w:rsidP="007157AD">
      <w:pPr>
        <w:pStyle w:val="PlainText"/>
        <w:jc w:val="both"/>
        <w:rPr>
          <w:b/>
          <w:szCs w:val="22"/>
        </w:rPr>
      </w:pPr>
    </w:p>
    <w:p w14:paraId="041EFA57" w14:textId="7C623B43" w:rsidR="00084FDF" w:rsidRPr="00206649" w:rsidRDefault="00084FDF" w:rsidP="007157AD">
      <w:pPr>
        <w:pStyle w:val="PlainText"/>
        <w:jc w:val="both"/>
        <w:rPr>
          <w:szCs w:val="22"/>
        </w:rPr>
      </w:pPr>
      <w:r w:rsidRPr="00206649">
        <w:rPr>
          <w:szCs w:val="22"/>
        </w:rPr>
        <w:t>We have revised it and now the first bullet point is a strength of the paper:</w:t>
      </w:r>
    </w:p>
    <w:p w14:paraId="5F888382" w14:textId="51C88B47" w:rsidR="00084FDF" w:rsidRPr="00206649" w:rsidRDefault="00084FDF" w:rsidP="007157AD">
      <w:pPr>
        <w:pStyle w:val="PlainText"/>
        <w:jc w:val="both"/>
        <w:rPr>
          <w:i/>
          <w:szCs w:val="22"/>
        </w:rPr>
      </w:pPr>
      <w:r w:rsidRPr="00206649">
        <w:rPr>
          <w:rFonts w:cstheme="minorHAnsi"/>
          <w:i/>
          <w:szCs w:val="22"/>
        </w:rPr>
        <w:t>“We analyze nine cause-of-death groups using the concept of avoidable/amenable mortality that enables us to capture recent changes in mortality in Mexico.”</w:t>
      </w:r>
    </w:p>
    <w:p w14:paraId="01D50AED" w14:textId="77777777" w:rsidR="00084FDF" w:rsidRPr="00206649" w:rsidRDefault="00084FDF" w:rsidP="007157AD">
      <w:pPr>
        <w:pStyle w:val="PlainText"/>
        <w:jc w:val="both"/>
        <w:rPr>
          <w:b/>
          <w:szCs w:val="22"/>
        </w:rPr>
      </w:pPr>
    </w:p>
    <w:p w14:paraId="022DF959" w14:textId="77777777" w:rsidR="006845DB" w:rsidRPr="00206649" w:rsidRDefault="006845DB" w:rsidP="007157AD">
      <w:pPr>
        <w:pStyle w:val="PlainText"/>
        <w:jc w:val="both"/>
        <w:rPr>
          <w:b/>
          <w:szCs w:val="22"/>
        </w:rPr>
      </w:pPr>
    </w:p>
    <w:p w14:paraId="1896A3DE" w14:textId="212DC1B3" w:rsidR="006845DB" w:rsidRPr="00206649" w:rsidRDefault="006845DB" w:rsidP="007157AD">
      <w:pPr>
        <w:pStyle w:val="PlainText"/>
        <w:jc w:val="both"/>
        <w:rPr>
          <w:b/>
          <w:szCs w:val="22"/>
        </w:rPr>
      </w:pPr>
      <w:r w:rsidRPr="00206649">
        <w:rPr>
          <w:b/>
          <w:szCs w:val="22"/>
        </w:rPr>
        <w:t>- Along with your revised manuscript, please provide a completed copy of the STROBE checklist (</w:t>
      </w:r>
      <w:hyperlink r:id="rId8" w:history="1">
        <w:r w:rsidR="00136B62" w:rsidRPr="00206649">
          <w:rPr>
            <w:rStyle w:val="Hyperlink"/>
            <w:szCs w:val="22"/>
          </w:rPr>
          <w:t>http://www.strobe-statement.org/</w:t>
        </w:r>
      </w:hyperlink>
      <w:r w:rsidRPr="00206649">
        <w:rPr>
          <w:b/>
          <w:szCs w:val="22"/>
        </w:rPr>
        <w:t>).</w:t>
      </w:r>
    </w:p>
    <w:p w14:paraId="7C32D88B" w14:textId="4B248CC8" w:rsidR="00136B62" w:rsidRPr="00206649" w:rsidRDefault="00136B62" w:rsidP="007157AD">
      <w:pPr>
        <w:pStyle w:val="PlainText"/>
        <w:jc w:val="both"/>
        <w:rPr>
          <w:szCs w:val="22"/>
        </w:rPr>
      </w:pPr>
      <w:r w:rsidRPr="00206649">
        <w:rPr>
          <w:szCs w:val="22"/>
        </w:rPr>
        <w:t>We have included a completed copy of the STROBE checklist</w:t>
      </w:r>
    </w:p>
    <w:p w14:paraId="487D059C" w14:textId="77777777" w:rsidR="006845DB" w:rsidRPr="00206649" w:rsidRDefault="006845DB" w:rsidP="007157AD">
      <w:pPr>
        <w:jc w:val="both"/>
        <w:rPr>
          <w:rFonts w:cs="Times New Roman"/>
          <w:b/>
          <w:sz w:val="22"/>
        </w:rPr>
      </w:pPr>
    </w:p>
    <w:p w14:paraId="34D49B70" w14:textId="264BE42B" w:rsidR="002010C1" w:rsidRPr="00206649" w:rsidRDefault="00284F19" w:rsidP="007157AD">
      <w:pPr>
        <w:jc w:val="both"/>
        <w:rPr>
          <w:rFonts w:ascii="Calibri" w:eastAsia="Times New Roman" w:hAnsi="Calibri" w:cs="Times New Roman"/>
          <w:sz w:val="22"/>
        </w:rPr>
      </w:pPr>
      <w:r w:rsidRPr="00206649">
        <w:rPr>
          <w:rFonts w:ascii="Calibri" w:eastAsia="Times New Roman" w:hAnsi="Calibri" w:cs="Times New Roman"/>
          <w:sz w:val="22"/>
        </w:rPr>
        <w:t>Thank you again for considering our manuscript.</w:t>
      </w:r>
    </w:p>
    <w:p w14:paraId="43C8383B" w14:textId="7B51EFAC" w:rsidR="0004327F" w:rsidRPr="00206649" w:rsidRDefault="0004327F" w:rsidP="007157AD">
      <w:pPr>
        <w:jc w:val="both"/>
        <w:rPr>
          <w:rFonts w:ascii="Calibri" w:eastAsia="Times New Roman" w:hAnsi="Calibri" w:cs="Times New Roman"/>
          <w:sz w:val="22"/>
        </w:rPr>
      </w:pPr>
    </w:p>
    <w:p w14:paraId="1164A561" w14:textId="5A5F863E" w:rsidR="0004327F" w:rsidRPr="00206649" w:rsidRDefault="0004327F" w:rsidP="007157AD">
      <w:pPr>
        <w:jc w:val="both"/>
        <w:rPr>
          <w:rFonts w:ascii="Calibri" w:eastAsia="Times New Roman" w:hAnsi="Calibri" w:cs="Times New Roman"/>
          <w:sz w:val="22"/>
          <w:lang w:val="es-MX"/>
        </w:rPr>
      </w:pPr>
      <w:r w:rsidRPr="00206649">
        <w:rPr>
          <w:rFonts w:ascii="Calibri" w:eastAsia="Times New Roman" w:hAnsi="Calibri" w:cs="Times New Roman"/>
          <w:sz w:val="22"/>
          <w:lang w:val="es-MX"/>
        </w:rPr>
        <w:t>José Manuel Aburto</w:t>
      </w:r>
    </w:p>
    <w:p w14:paraId="1DADD3DD" w14:textId="4FC93C8C" w:rsidR="0004327F" w:rsidRPr="00206649" w:rsidRDefault="006845DB" w:rsidP="007157AD">
      <w:pPr>
        <w:jc w:val="both"/>
        <w:rPr>
          <w:rFonts w:ascii="Calibri" w:eastAsia="Times New Roman" w:hAnsi="Calibri" w:cs="Times New Roman"/>
          <w:sz w:val="22"/>
          <w:lang w:val="es-MX"/>
        </w:rPr>
      </w:pPr>
      <w:r w:rsidRPr="00206649">
        <w:rPr>
          <w:rFonts w:ascii="Calibri" w:eastAsia="Times New Roman" w:hAnsi="Calibri" w:cs="Times New Roman"/>
          <w:sz w:val="22"/>
          <w:lang w:val="es-MX"/>
        </w:rPr>
        <w:t xml:space="preserve">Tim Riffe </w:t>
      </w:r>
    </w:p>
    <w:p w14:paraId="2FF7D046" w14:textId="77777777" w:rsidR="005D1388" w:rsidRPr="00206649" w:rsidRDefault="006845DB" w:rsidP="007157AD">
      <w:pPr>
        <w:jc w:val="both"/>
        <w:rPr>
          <w:rFonts w:ascii="Calibri" w:eastAsia="Times New Roman" w:hAnsi="Calibri" w:cs="Times New Roman"/>
          <w:sz w:val="22"/>
          <w:lang w:val="es-MX"/>
        </w:rPr>
      </w:pPr>
      <w:r w:rsidRPr="00206649">
        <w:rPr>
          <w:rFonts w:ascii="Calibri" w:eastAsia="Times New Roman" w:hAnsi="Calibri" w:cs="Times New Roman"/>
          <w:sz w:val="22"/>
          <w:lang w:val="es-MX"/>
        </w:rPr>
        <w:t>Vladimir Canudas-Romo</w:t>
      </w:r>
    </w:p>
    <w:p w14:paraId="1C7A4D3B" w14:textId="0C26931D" w:rsidR="002010C1" w:rsidRPr="00206649" w:rsidRDefault="005D1388" w:rsidP="007157AD">
      <w:pPr>
        <w:jc w:val="both"/>
        <w:rPr>
          <w:rFonts w:ascii="Calibri" w:eastAsia="Times New Roman" w:hAnsi="Calibri" w:cs="Times New Roman"/>
          <w:sz w:val="22"/>
        </w:rPr>
      </w:pPr>
      <w:r w:rsidRPr="00206649">
        <w:rPr>
          <w:rFonts w:ascii="Calibri" w:eastAsia="Times New Roman" w:hAnsi="Calibri" w:cs="Times New Roman"/>
          <w:sz w:val="22"/>
          <w:lang w:val="en-AU"/>
        </w:rPr>
        <w:br w:type="page"/>
      </w:r>
      <w:r w:rsidR="002010C1" w:rsidRPr="00206649">
        <w:rPr>
          <w:rFonts w:ascii="Calibri" w:eastAsia="Times New Roman" w:hAnsi="Calibri" w:cs="Times New Roman"/>
          <w:b/>
          <w:sz w:val="22"/>
        </w:rPr>
        <w:lastRenderedPageBreak/>
        <w:t>Reply to reviewers</w:t>
      </w:r>
    </w:p>
    <w:p w14:paraId="1AF19C0A" w14:textId="36D61BC6" w:rsidR="002010C1" w:rsidRPr="00206649" w:rsidRDefault="002010C1" w:rsidP="007157AD">
      <w:pPr>
        <w:pStyle w:val="PlainText"/>
        <w:jc w:val="both"/>
        <w:rPr>
          <w:szCs w:val="22"/>
        </w:rPr>
      </w:pPr>
      <w:r w:rsidRPr="00206649">
        <w:rPr>
          <w:szCs w:val="22"/>
        </w:rPr>
        <w:t>We appreciate the reviewers' comments; their detailed reading of the manuscript and suggestions that have greatly improved the article. Our responses to the reviewers’ comments are outlined below in regular font with reviewer’s comments in bold font.</w:t>
      </w:r>
    </w:p>
    <w:p w14:paraId="41FBE9AC" w14:textId="32CF9D99" w:rsidR="002010C1" w:rsidRPr="00206649" w:rsidRDefault="002010C1" w:rsidP="007157AD">
      <w:pPr>
        <w:jc w:val="both"/>
        <w:rPr>
          <w:sz w:val="22"/>
        </w:rPr>
      </w:pPr>
    </w:p>
    <w:p w14:paraId="3701D444" w14:textId="77777777" w:rsidR="00733702" w:rsidRPr="00206649" w:rsidRDefault="00733702" w:rsidP="007157AD">
      <w:pPr>
        <w:pStyle w:val="PlainText"/>
        <w:jc w:val="both"/>
        <w:rPr>
          <w:b/>
          <w:szCs w:val="22"/>
        </w:rPr>
      </w:pPr>
      <w:r w:rsidRPr="00206649">
        <w:rPr>
          <w:b/>
          <w:szCs w:val="22"/>
        </w:rPr>
        <w:t>Reviewer: 1</w:t>
      </w:r>
    </w:p>
    <w:p w14:paraId="5C390E3E" w14:textId="77777777" w:rsidR="00733702" w:rsidRPr="00206649" w:rsidRDefault="00733702" w:rsidP="007157AD">
      <w:pPr>
        <w:pStyle w:val="PlainText"/>
        <w:jc w:val="both"/>
        <w:rPr>
          <w:b/>
          <w:szCs w:val="22"/>
        </w:rPr>
      </w:pPr>
      <w:r w:rsidRPr="00206649">
        <w:rPr>
          <w:b/>
          <w:szCs w:val="22"/>
        </w:rPr>
        <w:t>Reviewer Name: Usama Bilal</w:t>
      </w:r>
    </w:p>
    <w:p w14:paraId="13E43CB0" w14:textId="77777777" w:rsidR="00733702" w:rsidRPr="00206649" w:rsidRDefault="00733702" w:rsidP="007157AD">
      <w:pPr>
        <w:pStyle w:val="PlainText"/>
        <w:jc w:val="both"/>
        <w:rPr>
          <w:b/>
          <w:szCs w:val="22"/>
        </w:rPr>
      </w:pPr>
      <w:r w:rsidRPr="00206649">
        <w:rPr>
          <w:b/>
          <w:szCs w:val="22"/>
        </w:rPr>
        <w:t>Institution and Country: Urban Health Collaborative, Drexel Dornsife School of Public Health, Philadelphia, PA, USA Competing Interests: None declared</w:t>
      </w:r>
    </w:p>
    <w:p w14:paraId="35F8EF73" w14:textId="77777777" w:rsidR="00733702" w:rsidRPr="00206649" w:rsidRDefault="00733702" w:rsidP="007157AD">
      <w:pPr>
        <w:pStyle w:val="PlainText"/>
        <w:jc w:val="both"/>
        <w:rPr>
          <w:b/>
          <w:szCs w:val="22"/>
        </w:rPr>
      </w:pPr>
    </w:p>
    <w:p w14:paraId="2A06DB81" w14:textId="77777777" w:rsidR="00733702" w:rsidRPr="00206649" w:rsidRDefault="00733702" w:rsidP="007157AD">
      <w:pPr>
        <w:pStyle w:val="PlainText"/>
        <w:jc w:val="both"/>
        <w:rPr>
          <w:b/>
          <w:szCs w:val="22"/>
        </w:rPr>
      </w:pPr>
      <w:r w:rsidRPr="00206649">
        <w:rPr>
          <w:b/>
          <w:szCs w:val="22"/>
        </w:rPr>
        <w:t>Inequalities in lifespan in Mexico, 1990 -2015: deterioration in adult survival (bmjopen-2018-022350) This is an interesting manuscript that aims to quantify the contribution of several causes of death to levels and changes in longevity in Mexican states from 1990 to 2015. The authors find an overall worsening in mortality, especially in men aged 15-49. The methodology is interesting, potentially replicable in other settings (especially with the provided GitHub repository), can provide a framework to analyze macro-level interventions in countries with within-country heterogeneity. I have a few comments that I hope can help improve the manuscript.</w:t>
      </w:r>
    </w:p>
    <w:p w14:paraId="641FBDB3" w14:textId="77777777" w:rsidR="00733702" w:rsidRPr="00206649" w:rsidRDefault="00733702" w:rsidP="007157AD">
      <w:pPr>
        <w:pStyle w:val="PlainText"/>
        <w:jc w:val="both"/>
        <w:rPr>
          <w:b/>
          <w:szCs w:val="22"/>
        </w:rPr>
      </w:pPr>
    </w:p>
    <w:p w14:paraId="30BD7410" w14:textId="77777777" w:rsidR="00733702" w:rsidRPr="00206649" w:rsidRDefault="00733702" w:rsidP="007157AD">
      <w:pPr>
        <w:pStyle w:val="PlainText"/>
        <w:jc w:val="both"/>
        <w:rPr>
          <w:b/>
          <w:szCs w:val="22"/>
        </w:rPr>
      </w:pPr>
      <w:r w:rsidRPr="00206649">
        <w:rPr>
          <w:b/>
          <w:szCs w:val="22"/>
        </w:rPr>
        <w:t>Introduction:</w:t>
      </w:r>
    </w:p>
    <w:p w14:paraId="6F1A6333" w14:textId="14449E2F" w:rsidR="00733702" w:rsidRPr="00206649" w:rsidRDefault="00733702" w:rsidP="007157AD">
      <w:pPr>
        <w:pStyle w:val="PlainText"/>
        <w:jc w:val="both"/>
        <w:rPr>
          <w:b/>
          <w:szCs w:val="22"/>
        </w:rPr>
      </w:pPr>
      <w:r w:rsidRPr="00206649">
        <w:rPr>
          <w:b/>
          <w:szCs w:val="22"/>
        </w:rPr>
        <w:t>1.</w:t>
      </w:r>
      <w:r w:rsidRPr="00206649">
        <w:rPr>
          <w:b/>
          <w:szCs w:val="22"/>
        </w:rPr>
        <w:tab/>
        <w:t>The introduction is clear, well written and concise. My main concern would be to have a clearer articulation of the objective of the paper. In particular, in P4 L14, it is unclear to me what “previous analyses” are. Are they those referred to in the previous paragraph? I think the authors can rephrase this paragraph to have a clear objective laid out.</w:t>
      </w:r>
    </w:p>
    <w:p w14:paraId="27751A5D" w14:textId="083E5764" w:rsidR="00035F84" w:rsidRPr="00206649" w:rsidRDefault="00035F84" w:rsidP="007157AD">
      <w:pPr>
        <w:pStyle w:val="PlainText"/>
        <w:jc w:val="both"/>
        <w:rPr>
          <w:b/>
          <w:szCs w:val="22"/>
        </w:rPr>
      </w:pPr>
    </w:p>
    <w:p w14:paraId="28E59F1E" w14:textId="3651219A" w:rsidR="00035F84" w:rsidRPr="00206649" w:rsidRDefault="00035F84" w:rsidP="007157AD">
      <w:pPr>
        <w:pStyle w:val="PlainText"/>
        <w:jc w:val="both"/>
        <w:rPr>
          <w:szCs w:val="22"/>
        </w:rPr>
      </w:pPr>
      <w:r w:rsidRPr="00206649">
        <w:rPr>
          <w:szCs w:val="22"/>
        </w:rPr>
        <w:t>We thank the reviewer for his suggestion. To make clearer the specific objectives of the paper we followed his suggestion and rephrased the paragraph. In addition, we included the references that we refer to in the paragraph when saying “… complementing previous studies focusing on earlier years of the 21</w:t>
      </w:r>
      <w:r w:rsidRPr="00206649">
        <w:rPr>
          <w:szCs w:val="22"/>
          <w:vertAlign w:val="superscript"/>
        </w:rPr>
        <w:t>st</w:t>
      </w:r>
      <w:r w:rsidRPr="00206649">
        <w:rPr>
          <w:szCs w:val="22"/>
        </w:rPr>
        <w:t xml:space="preserve"> century.”</w:t>
      </w:r>
    </w:p>
    <w:p w14:paraId="6182ECA8" w14:textId="77777777" w:rsidR="00035F84" w:rsidRPr="00206649" w:rsidRDefault="00035F84" w:rsidP="007157AD">
      <w:pPr>
        <w:pStyle w:val="PlainText"/>
        <w:jc w:val="both"/>
        <w:rPr>
          <w:szCs w:val="22"/>
        </w:rPr>
      </w:pPr>
    </w:p>
    <w:p w14:paraId="5AAB42B6" w14:textId="3BCC54FF" w:rsidR="00035F84" w:rsidRPr="00206649" w:rsidRDefault="00035F84" w:rsidP="007157AD">
      <w:pPr>
        <w:pStyle w:val="PlainText"/>
        <w:jc w:val="both"/>
        <w:rPr>
          <w:szCs w:val="22"/>
        </w:rPr>
      </w:pPr>
      <w:r w:rsidRPr="00206649">
        <w:rPr>
          <w:szCs w:val="22"/>
        </w:rPr>
        <w:t xml:space="preserve"> It now reads:</w:t>
      </w:r>
    </w:p>
    <w:p w14:paraId="1517C157" w14:textId="3F3A8A32" w:rsidR="00035F84" w:rsidRPr="00206649" w:rsidRDefault="00035F84" w:rsidP="007157AD">
      <w:pPr>
        <w:pStyle w:val="PlainText"/>
        <w:jc w:val="both"/>
        <w:rPr>
          <w:szCs w:val="22"/>
        </w:rPr>
      </w:pPr>
    </w:p>
    <w:p w14:paraId="43D47E6D" w14:textId="2DD6F47C" w:rsidR="00035F84" w:rsidRPr="00206649" w:rsidRDefault="00035F84" w:rsidP="007157AD">
      <w:pPr>
        <w:pStyle w:val="PlainText"/>
        <w:jc w:val="both"/>
        <w:rPr>
          <w:i/>
          <w:szCs w:val="22"/>
        </w:rPr>
      </w:pPr>
      <w:r w:rsidRPr="00206649">
        <w:rPr>
          <w:szCs w:val="22"/>
        </w:rPr>
        <w:t>“</w:t>
      </w:r>
      <w:r w:rsidRPr="00206649">
        <w:rPr>
          <w:i/>
          <w:szCs w:val="22"/>
        </w:rPr>
        <w:t>The objective of this research is twofold. Firstly, analysing mortality trends by cause of death for all 32 Mexican states, by sex, and over the full period from 1990 to 2015. Thereby complementing previous studies focusing on earlier years of the 21st century.</w:t>
      </w:r>
      <w:r w:rsidR="00CB3AF7" w:rsidRPr="00206649">
        <w:rPr>
          <w:i/>
          <w:szCs w:val="22"/>
          <w:vertAlign w:val="superscript"/>
        </w:rPr>
        <w:t>3,3-16</w:t>
      </w:r>
      <w:r w:rsidRPr="00206649">
        <w:rPr>
          <w:i/>
          <w:szCs w:val="22"/>
        </w:rPr>
        <w:t xml:space="preserve"> This choice of period covers several public health interventions and captures several major trends in state and cause-of-death variation. We further segment AM into health intervention-related and behavior-related AM causes that capture the epidemiological patterns of Mexico.</w:t>
      </w:r>
      <w:r w:rsidR="00CB3AF7" w:rsidRPr="00206649">
        <w:rPr>
          <w:i/>
          <w:szCs w:val="22"/>
          <w:vertAlign w:val="superscript"/>
        </w:rPr>
        <w:t>14</w:t>
      </w:r>
      <w:r w:rsidRPr="00206649">
        <w:rPr>
          <w:i/>
          <w:szCs w:val="22"/>
        </w:rPr>
        <w:t xml:space="preserve"> Secondly, our work differentiates from earlier studies by comparing state mortality patterns with an easy-to-understand low-mortality benchmark calculated for large age groups (i.e. 0-14, 15-49 and 50-84). This concept has been previously used in mortality studies.</w:t>
      </w:r>
      <w:r w:rsidR="00CB3AF7" w:rsidRPr="00206649">
        <w:rPr>
          <w:i/>
          <w:szCs w:val="22"/>
          <w:vertAlign w:val="superscript"/>
        </w:rPr>
        <w:t>17-19</w:t>
      </w:r>
      <w:r w:rsidRPr="00206649">
        <w:rPr>
          <w:i/>
          <w:szCs w:val="22"/>
        </w:rPr>
        <w:t xml:space="preserve"> Deviations from the low-mortality benchmark indicate a strong potential for improvement.”</w:t>
      </w:r>
    </w:p>
    <w:p w14:paraId="3BE9A41D" w14:textId="77777777" w:rsidR="00035F84" w:rsidRPr="00206649" w:rsidRDefault="00035F84" w:rsidP="007157AD">
      <w:pPr>
        <w:pStyle w:val="PlainText"/>
        <w:jc w:val="both"/>
        <w:rPr>
          <w:szCs w:val="22"/>
        </w:rPr>
      </w:pPr>
    </w:p>
    <w:p w14:paraId="42B98355" w14:textId="6B0F3608" w:rsidR="00035F84" w:rsidRPr="00206649" w:rsidRDefault="00035F84" w:rsidP="007157AD">
      <w:pPr>
        <w:pStyle w:val="PlainText"/>
        <w:jc w:val="both"/>
        <w:rPr>
          <w:szCs w:val="22"/>
          <w:lang w:val="es-MX"/>
        </w:rPr>
      </w:pPr>
      <w:r w:rsidRPr="00206649">
        <w:rPr>
          <w:szCs w:val="22"/>
          <w:lang w:val="es-MX"/>
        </w:rPr>
        <w:t>References</w:t>
      </w:r>
    </w:p>
    <w:p w14:paraId="4198BA8E" w14:textId="591A9733" w:rsidR="00035F84" w:rsidRPr="00206649" w:rsidRDefault="00035F84" w:rsidP="007157AD">
      <w:pPr>
        <w:pStyle w:val="PlainText"/>
        <w:jc w:val="both"/>
        <w:rPr>
          <w:szCs w:val="22"/>
          <w:lang w:val="es-MX"/>
        </w:rPr>
      </w:pPr>
    </w:p>
    <w:p w14:paraId="32B6C13C"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3. Canudas-Romo V, García-Guerrero VM, Echarri-Cánovas CJ. The stagnation of the Mexican male life expectancy in the first decade of the 21st century: the impact of homicides and diabetes mellitus. J Epidemiol Community Health 2015;69(1):28-34.</w:t>
      </w:r>
    </w:p>
    <w:p w14:paraId="6C27728A" w14:textId="77777777" w:rsidR="00035F84" w:rsidRPr="00206649" w:rsidRDefault="00035F84" w:rsidP="007157AD">
      <w:pPr>
        <w:pStyle w:val="PlainText"/>
        <w:jc w:val="both"/>
        <w:rPr>
          <w:szCs w:val="22"/>
        </w:rPr>
      </w:pPr>
    </w:p>
    <w:p w14:paraId="4119291E"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lastRenderedPageBreak/>
        <w:t>13. Dávila-Cervantes CA, Agudelo-Botero M. Mortalidad evitable en México y su contribución a los años de vida perdidos: Análisis por grado de marginación estatal, 2001-2010. Papeles de población 2014;20(82):267-86.</w:t>
      </w:r>
    </w:p>
    <w:p w14:paraId="7D4B40CE"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14. Aburto JM, Beltrán-Sánchez H, García-Guerrero VM, et al. Homicides in Mexico reversed life expectancy gains for men and slowed them for women, 2000–10. Health Affairs 2016;35(1):88-95.</w:t>
      </w:r>
    </w:p>
    <w:p w14:paraId="4B022807"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15. Canudas-Romo V, Aburto JM, García-Guerrero VM, et al. Mexico's epidemic of violence and its public health significance on average length of life. Journal of epidemiology and community health 2017;71(2):188-93.</w:t>
      </w:r>
    </w:p>
    <w:p w14:paraId="2CC684DD"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16. Gómez-Dantés H, Fullman N, Lamadrid-Figueroa H, et al. Dissonant health transition in the states of Mexico, 1990–2013: a systematic analysis for the Global Burden of Disease Study 2013. The Lancet 2016;388(10058):2386-402.</w:t>
      </w:r>
    </w:p>
    <w:p w14:paraId="56E3D079"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17. Whelpton PK, Eldridge HT, Seigel JS. Forecasts of the Population of the United States, 1945-1975: US Govt. Print. Off. 1948.</w:t>
      </w:r>
    </w:p>
    <w:p w14:paraId="7CC1A904"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18. Wunsch G. A minimum life-table for Europe. European Demographic Information Bulletin 1975;5(1):2-10.</w:t>
      </w:r>
    </w:p>
    <w:p w14:paraId="2C7DF058"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19. Vallin J, Meslé F. Minimum Mortality: A Predictor of Future Progress? Population-E 2008;63(04):557-90.</w:t>
      </w:r>
    </w:p>
    <w:p w14:paraId="226EE044" w14:textId="77777777" w:rsidR="00035F84" w:rsidRPr="00206649" w:rsidRDefault="00035F84" w:rsidP="007157AD">
      <w:pPr>
        <w:pStyle w:val="PlainText"/>
        <w:jc w:val="both"/>
        <w:rPr>
          <w:szCs w:val="22"/>
        </w:rPr>
      </w:pPr>
    </w:p>
    <w:p w14:paraId="423EFC83" w14:textId="77777777" w:rsidR="00035F84" w:rsidRPr="00206649" w:rsidRDefault="00035F84" w:rsidP="007157AD">
      <w:pPr>
        <w:pStyle w:val="PlainText"/>
        <w:jc w:val="both"/>
        <w:rPr>
          <w:b/>
          <w:szCs w:val="22"/>
        </w:rPr>
      </w:pPr>
    </w:p>
    <w:p w14:paraId="7ED230B2" w14:textId="77777777" w:rsidR="00035F84" w:rsidRPr="00206649" w:rsidRDefault="00035F84" w:rsidP="007157AD">
      <w:pPr>
        <w:pStyle w:val="PlainText"/>
        <w:jc w:val="both"/>
        <w:rPr>
          <w:b/>
          <w:szCs w:val="22"/>
        </w:rPr>
      </w:pPr>
    </w:p>
    <w:p w14:paraId="625C901D" w14:textId="411FDF9C" w:rsidR="00733702" w:rsidRPr="00206649" w:rsidRDefault="00733702" w:rsidP="007157AD">
      <w:pPr>
        <w:pStyle w:val="PlainText"/>
        <w:jc w:val="both"/>
        <w:rPr>
          <w:b/>
          <w:szCs w:val="22"/>
        </w:rPr>
      </w:pPr>
      <w:r w:rsidRPr="00206649">
        <w:rPr>
          <w:b/>
          <w:szCs w:val="22"/>
        </w:rPr>
        <w:t>Methods:</w:t>
      </w:r>
    </w:p>
    <w:p w14:paraId="14119AA7" w14:textId="791CE4BA" w:rsidR="00733702" w:rsidRPr="00206649" w:rsidRDefault="00733702" w:rsidP="007157AD">
      <w:pPr>
        <w:pStyle w:val="PlainText"/>
        <w:jc w:val="both"/>
        <w:rPr>
          <w:b/>
          <w:szCs w:val="22"/>
        </w:rPr>
      </w:pPr>
      <w:r w:rsidRPr="00206649">
        <w:rPr>
          <w:b/>
          <w:szCs w:val="22"/>
        </w:rPr>
        <w:t>2.</w:t>
      </w:r>
      <w:r w:rsidRPr="00206649">
        <w:rPr>
          <w:b/>
          <w:szCs w:val="22"/>
        </w:rPr>
        <w:tab/>
        <w:t>Ill-defined causes of death. The authors describe their classification of causes of death as including amenable causes (divided in 4 subgroups), diabetes, IHD, lung cancer, cirrhosis, homicides, road traffic accidents, and residual causes. The redistribution of ill-defined causes of death (all included in “Residual causes” here) is certainly a hot topic in global health, and the authors have decided not to redistribute them. While the merits of both approaches can be debated, the authors should at least include the reasoning behind their decision and the potential drawbacks of not redistributing these deaths.</w:t>
      </w:r>
    </w:p>
    <w:p w14:paraId="647FA9E1" w14:textId="52402366" w:rsidR="002562FA" w:rsidRPr="00206649" w:rsidRDefault="002562FA" w:rsidP="007157AD">
      <w:pPr>
        <w:pStyle w:val="PlainText"/>
        <w:jc w:val="both"/>
        <w:rPr>
          <w:b/>
          <w:szCs w:val="22"/>
        </w:rPr>
      </w:pPr>
    </w:p>
    <w:p w14:paraId="019AE0B7" w14:textId="07FA65AC" w:rsidR="002562FA" w:rsidRPr="00206649" w:rsidRDefault="002562FA" w:rsidP="007157AD">
      <w:pPr>
        <w:pStyle w:val="PlainText"/>
        <w:jc w:val="both"/>
        <w:rPr>
          <w:szCs w:val="22"/>
        </w:rPr>
      </w:pPr>
      <w:r w:rsidRPr="00206649">
        <w:rPr>
          <w:szCs w:val="22"/>
        </w:rPr>
        <w:t>We thank the reviewer for his observation. Mexico is among the countries with high-quality data according with the Pan American Health Organization’s criteria. Underreported deaths are estimated to be around 0.8%,</w:t>
      </w:r>
      <w:r w:rsidR="007157AD" w:rsidRPr="00206649">
        <w:rPr>
          <w:szCs w:val="22"/>
        </w:rPr>
        <w:t xml:space="preserve"> (WHO 2018, OPS 2014)</w:t>
      </w:r>
      <w:r w:rsidRPr="00206649">
        <w:rPr>
          <w:szCs w:val="22"/>
        </w:rPr>
        <w:t xml:space="preserve"> while ill-defined causes of death represented 2.1% in the beginning of the century and has decreased to 1.7% more recently</w:t>
      </w:r>
      <w:r w:rsidR="007157AD" w:rsidRPr="00206649">
        <w:rPr>
          <w:szCs w:val="22"/>
        </w:rPr>
        <w:t xml:space="preserve"> (OPS 2014)</w:t>
      </w:r>
      <w:r w:rsidRPr="00206649">
        <w:rPr>
          <w:szCs w:val="22"/>
        </w:rPr>
        <w:t xml:space="preserve">. </w:t>
      </w:r>
    </w:p>
    <w:p w14:paraId="2C1B2198" w14:textId="177BA78A" w:rsidR="007157AD" w:rsidRPr="00206649" w:rsidRDefault="007157AD" w:rsidP="007157AD">
      <w:pPr>
        <w:pStyle w:val="PlainText"/>
        <w:jc w:val="both"/>
        <w:rPr>
          <w:szCs w:val="22"/>
        </w:rPr>
      </w:pPr>
    </w:p>
    <w:p w14:paraId="1EA1A86E" w14:textId="5C1B3841" w:rsidR="007157AD" w:rsidRPr="00206649" w:rsidRDefault="000212D5" w:rsidP="007157AD">
      <w:pPr>
        <w:pStyle w:val="PlainText"/>
        <w:jc w:val="both"/>
        <w:rPr>
          <w:szCs w:val="22"/>
        </w:rPr>
      </w:pPr>
      <w:r w:rsidRPr="00206649">
        <w:rPr>
          <w:szCs w:val="22"/>
        </w:rPr>
        <w:t>It is true that redistributing death</w:t>
      </w:r>
      <w:r w:rsidR="004D2A10">
        <w:rPr>
          <w:szCs w:val="22"/>
        </w:rPr>
        <w:t>s</w:t>
      </w:r>
      <w:r w:rsidRPr="00206649">
        <w:rPr>
          <w:szCs w:val="22"/>
        </w:rPr>
        <w:t xml:space="preserve"> proportionally is common practice in cause-of-death analysis to have a complete set of mortality. In this sense, we decided two leave ill-defined causes in the ‘Residual category’ for </w:t>
      </w:r>
      <w:r w:rsidR="004D2A10">
        <w:rPr>
          <w:szCs w:val="22"/>
        </w:rPr>
        <w:t>two</w:t>
      </w:r>
      <w:r w:rsidRPr="00206649">
        <w:rPr>
          <w:szCs w:val="22"/>
        </w:rPr>
        <w:t xml:space="preserve"> reasons. Firstly, we didn’t want to overestimate cause-specific effects when decomposing between state and the benchmark. This is because distributing them proportionally assumes that every cause has the same chance of being ill-defined, which is not necessarily true in Mexico, particularly with violence-related mortality. Secondly, given the low proportion of ill-defined causes in Mexico, the effect of ill-define being distributed would be negligible</w:t>
      </w:r>
      <w:r w:rsidR="004D2A10">
        <w:rPr>
          <w:szCs w:val="22"/>
        </w:rPr>
        <w:t xml:space="preserve"> in overall AM categories and when decomposing</w:t>
      </w:r>
      <w:r w:rsidRPr="00206649">
        <w:rPr>
          <w:szCs w:val="22"/>
        </w:rPr>
        <w:t xml:space="preserve">. </w:t>
      </w:r>
    </w:p>
    <w:p w14:paraId="7F3B7300" w14:textId="70500236" w:rsidR="002562FA" w:rsidRPr="00206649" w:rsidRDefault="002562FA" w:rsidP="007157AD">
      <w:pPr>
        <w:pStyle w:val="PlainText"/>
        <w:jc w:val="both"/>
        <w:rPr>
          <w:szCs w:val="22"/>
        </w:rPr>
      </w:pPr>
    </w:p>
    <w:p w14:paraId="4871D0FF" w14:textId="2818E8F3" w:rsidR="002562FA" w:rsidRPr="00206649" w:rsidRDefault="002562FA" w:rsidP="007157AD">
      <w:pPr>
        <w:pStyle w:val="PlainText"/>
        <w:jc w:val="both"/>
        <w:rPr>
          <w:szCs w:val="22"/>
        </w:rPr>
      </w:pPr>
      <w:r w:rsidRPr="00206649">
        <w:rPr>
          <w:szCs w:val="22"/>
        </w:rPr>
        <w:t>References</w:t>
      </w:r>
    </w:p>
    <w:p w14:paraId="5EAD8658" w14:textId="77777777" w:rsidR="007157AD" w:rsidRPr="00206649" w:rsidRDefault="007157AD" w:rsidP="007157AD">
      <w:pPr>
        <w:pStyle w:val="PlainText"/>
        <w:jc w:val="both"/>
        <w:rPr>
          <w:szCs w:val="22"/>
        </w:rPr>
      </w:pPr>
    </w:p>
    <w:p w14:paraId="38D3B728" w14:textId="43A1B138" w:rsidR="002562FA" w:rsidRPr="00206649" w:rsidRDefault="007157AD" w:rsidP="007157AD">
      <w:pPr>
        <w:pStyle w:val="PlainText"/>
        <w:jc w:val="both"/>
        <w:rPr>
          <w:szCs w:val="22"/>
        </w:rPr>
      </w:pPr>
      <w:r w:rsidRPr="00206649">
        <w:rPr>
          <w:szCs w:val="22"/>
        </w:rPr>
        <w:t xml:space="preserve">World Health Organization. "Global health observatory data repository </w:t>
      </w:r>
      <w:r w:rsidR="001D762D" w:rsidRPr="00206649">
        <w:rPr>
          <w:szCs w:val="22"/>
        </w:rPr>
        <w:t>2018</w:t>
      </w:r>
      <w:r w:rsidRPr="00206649">
        <w:rPr>
          <w:szCs w:val="22"/>
        </w:rPr>
        <w:t xml:space="preserve">." Available </w:t>
      </w:r>
      <w:hyperlink r:id="rId9" w:history="1">
        <w:r w:rsidRPr="00206649">
          <w:rPr>
            <w:szCs w:val="22"/>
          </w:rPr>
          <w:t>http://apps.who.int/gho/data/node.imr.WHS10_9?lang=en</w:t>
        </w:r>
      </w:hyperlink>
      <w:r w:rsidRPr="00206649">
        <w:rPr>
          <w:szCs w:val="22"/>
        </w:rPr>
        <w:t xml:space="preserve">  main A364 (2018).</w:t>
      </w:r>
    </w:p>
    <w:p w14:paraId="41D5B675" w14:textId="77777777" w:rsidR="007157AD" w:rsidRPr="00206649" w:rsidRDefault="007157AD" w:rsidP="007157AD">
      <w:pPr>
        <w:pStyle w:val="PlainText"/>
        <w:jc w:val="both"/>
        <w:rPr>
          <w:szCs w:val="22"/>
        </w:rPr>
      </w:pPr>
    </w:p>
    <w:p w14:paraId="113E4F02" w14:textId="0D5B9C94" w:rsidR="007157AD" w:rsidRPr="00206649" w:rsidRDefault="002562FA" w:rsidP="007157AD">
      <w:pPr>
        <w:pStyle w:val="PlainText"/>
        <w:jc w:val="both"/>
        <w:rPr>
          <w:szCs w:val="22"/>
        </w:rPr>
      </w:pPr>
      <w:r w:rsidRPr="00206649">
        <w:rPr>
          <w:szCs w:val="22"/>
          <w:lang w:val="es-MX"/>
        </w:rPr>
        <w:t xml:space="preserve">Organización Mundial de la Salud. Organización Panamericana de la Salud. "Enfermedades transmisibles y análisis de salud/información y análisis de Salud: Situación de salud en las Américas: Indicadores Básicos 2013." </w:t>
      </w:r>
      <w:r w:rsidRPr="00206649">
        <w:rPr>
          <w:szCs w:val="22"/>
        </w:rPr>
        <w:t>(2014).</w:t>
      </w:r>
    </w:p>
    <w:p w14:paraId="70A0E204" w14:textId="77777777" w:rsidR="006476E3" w:rsidRPr="00206649" w:rsidRDefault="006476E3" w:rsidP="007157AD">
      <w:pPr>
        <w:pStyle w:val="PlainText"/>
        <w:jc w:val="both"/>
        <w:rPr>
          <w:b/>
          <w:szCs w:val="22"/>
        </w:rPr>
      </w:pPr>
    </w:p>
    <w:p w14:paraId="0266C4A6" w14:textId="3C248A39" w:rsidR="00733702" w:rsidRPr="00206649" w:rsidRDefault="00733702" w:rsidP="007157AD">
      <w:pPr>
        <w:pStyle w:val="PlainText"/>
        <w:jc w:val="both"/>
        <w:rPr>
          <w:b/>
          <w:szCs w:val="22"/>
        </w:rPr>
      </w:pPr>
      <w:r w:rsidRPr="00206649">
        <w:rPr>
          <w:b/>
          <w:szCs w:val="22"/>
        </w:rPr>
        <w:t>3.</w:t>
      </w:r>
      <w:r w:rsidRPr="00206649">
        <w:rPr>
          <w:b/>
          <w:szCs w:val="22"/>
        </w:rPr>
        <w:tab/>
        <w:t>Low-mortality benchmark. The authors use a low-mortality benchmark defined as the state with the lowest mortality in each age, year, cause and sex group. However, I worry that with some states being small (7 states had a population &lt;1M in 2000), some of these low mortality benchmarks may be random deviations. Figure 1 shows how the low-mortality benchmark is very far away from the other states in the 50-84 age group. If I’m understanding Figure 3 right, that state is Zacatecas (lowest mortality), which is in the low end of population numbers. The authors do implement a smoothing technique, but there are very few measures of uncertainty in the figures (or appendix).</w:t>
      </w:r>
    </w:p>
    <w:p w14:paraId="60D78BB7" w14:textId="18686784" w:rsidR="00B2595A" w:rsidRPr="00206649" w:rsidRDefault="00B2595A" w:rsidP="007157AD">
      <w:pPr>
        <w:pStyle w:val="PlainText"/>
        <w:jc w:val="both"/>
        <w:rPr>
          <w:b/>
          <w:szCs w:val="22"/>
        </w:rPr>
      </w:pPr>
    </w:p>
    <w:p w14:paraId="7857F3FD" w14:textId="110376D6" w:rsidR="00B2595A" w:rsidRPr="00206649" w:rsidRDefault="00B2595A" w:rsidP="007157AD">
      <w:pPr>
        <w:pStyle w:val="PlainText"/>
        <w:jc w:val="both"/>
        <w:rPr>
          <w:szCs w:val="22"/>
        </w:rPr>
      </w:pPr>
      <w:r w:rsidRPr="00206649">
        <w:rPr>
          <w:szCs w:val="22"/>
        </w:rPr>
        <w:t>We thank the reviewer for his comment. The smoothing techniques that we implement allow us to avoid random variations</w:t>
      </w:r>
      <w:r w:rsidR="004E1410" w:rsidRPr="00206649">
        <w:rPr>
          <w:szCs w:val="22"/>
        </w:rPr>
        <w:t xml:space="preserve"> and age-heaping</w:t>
      </w:r>
      <w:r w:rsidRPr="00206649">
        <w:rPr>
          <w:szCs w:val="22"/>
        </w:rPr>
        <w:t xml:space="preserve"> in death counts by </w:t>
      </w:r>
      <w:r w:rsidR="00383475" w:rsidRPr="00206649">
        <w:rPr>
          <w:szCs w:val="22"/>
        </w:rPr>
        <w:t xml:space="preserve">sex, state and groups of causes of death. On the other hand, our low mortality benchmark is far from the states in most of the age-groups because it consists of the lowest mortality level observed in each, year and cause by sex -i.e.  the benchmark can consist of a combination of values observed in different states. Figure 3 shows that the state achieving the longest </w:t>
      </w:r>
      <w:r w:rsidR="007D4FB2" w:rsidRPr="00206649">
        <w:rPr>
          <w:szCs w:val="22"/>
        </w:rPr>
        <w:t xml:space="preserve">average </w:t>
      </w:r>
      <w:r w:rsidR="00383475" w:rsidRPr="00206649">
        <w:rPr>
          <w:szCs w:val="22"/>
        </w:rPr>
        <w:t>survival</w:t>
      </w:r>
      <w:r w:rsidR="007D4FB2" w:rsidRPr="00206649">
        <w:rPr>
          <w:szCs w:val="22"/>
        </w:rPr>
        <w:t xml:space="preserve"> in 2010-15</w:t>
      </w:r>
      <w:r w:rsidR="00383475" w:rsidRPr="00206649">
        <w:rPr>
          <w:szCs w:val="22"/>
        </w:rPr>
        <w:t xml:space="preserve"> (or lowest gap with benchmark) between ages 50 and 85 is Zacatecas</w:t>
      </w:r>
      <w:r w:rsidR="004E1410" w:rsidRPr="00206649">
        <w:rPr>
          <w:szCs w:val="22"/>
        </w:rPr>
        <w:t>, which is still far from the benchmark.</w:t>
      </w:r>
      <w:r w:rsidR="00383475" w:rsidRPr="00206649">
        <w:rPr>
          <w:szCs w:val="22"/>
        </w:rPr>
        <w:t xml:space="preserve"> </w:t>
      </w:r>
    </w:p>
    <w:p w14:paraId="25D77A46" w14:textId="1B5BC62D" w:rsidR="0085651B" w:rsidRPr="00206649" w:rsidRDefault="0085651B" w:rsidP="007157AD">
      <w:pPr>
        <w:pStyle w:val="PlainText"/>
        <w:jc w:val="both"/>
        <w:rPr>
          <w:szCs w:val="22"/>
        </w:rPr>
      </w:pPr>
    </w:p>
    <w:p w14:paraId="2ACE6D3D" w14:textId="12E25125" w:rsidR="0085651B" w:rsidRPr="00206649" w:rsidRDefault="0085651B" w:rsidP="007157AD">
      <w:pPr>
        <w:pStyle w:val="PlainText"/>
        <w:jc w:val="both"/>
        <w:rPr>
          <w:szCs w:val="22"/>
        </w:rPr>
      </w:pPr>
      <w:r w:rsidRPr="00206649">
        <w:rPr>
          <w:szCs w:val="22"/>
        </w:rPr>
        <w:t>It</w:t>
      </w:r>
      <w:r w:rsidR="00240EAE" w:rsidRPr="00206649">
        <w:rPr>
          <w:szCs w:val="22"/>
        </w:rPr>
        <w:t xml:space="preserve"> is true that small population</w:t>
      </w:r>
      <w:r w:rsidR="00C24238" w:rsidRPr="00206649">
        <w:rPr>
          <w:szCs w:val="22"/>
        </w:rPr>
        <w:t xml:space="preserve"> sizes</w:t>
      </w:r>
      <w:r w:rsidR="00240EAE" w:rsidRPr="00206649">
        <w:rPr>
          <w:szCs w:val="22"/>
        </w:rPr>
        <w:t xml:space="preserve"> c</w:t>
      </w:r>
      <w:r w:rsidRPr="00206649">
        <w:rPr>
          <w:szCs w:val="22"/>
        </w:rPr>
        <w:t>ould bias our results, and we thank the reviewer for this observation. As a robustness check, we calculated Confidence Intervals (95%) for all our estimates of temporary life expectancy, including the benchmark. We estimated them assuming deaths are Poisson distributed following Camarda (2012).</w:t>
      </w:r>
      <w:r w:rsidR="004E1410" w:rsidRPr="00206649">
        <w:rPr>
          <w:szCs w:val="22"/>
        </w:rPr>
        <w:t xml:space="preserve"> The figure below shows state-specific temporary life expectancies for the young (0-14</w:t>
      </w:r>
      <w:r w:rsidR="00BB5F16" w:rsidRPr="00206649">
        <w:rPr>
          <w:szCs w:val="22"/>
        </w:rPr>
        <w:t>)</w:t>
      </w:r>
      <w:r w:rsidR="004E1410" w:rsidRPr="00206649">
        <w:rPr>
          <w:szCs w:val="22"/>
        </w:rPr>
        <w:t>, young adults (15-49) and older adults (50-84) populations</w:t>
      </w:r>
      <w:r w:rsidR="00BB5F16" w:rsidRPr="00206649">
        <w:rPr>
          <w:szCs w:val="22"/>
        </w:rPr>
        <w:t xml:space="preserve"> in 2000, 2010 and 2015</w:t>
      </w:r>
      <w:r w:rsidR="004E1410" w:rsidRPr="00206649">
        <w:rPr>
          <w:szCs w:val="22"/>
        </w:rPr>
        <w:t xml:space="preserve"> with confidence bands at the 95% level. The benchmark is at the top (highlighted in blue), and Baja California Sur, Colima and Campeche are highlighted in red. These last three had a population of less than 1 million in 2010 (INEGI, 2018).</w:t>
      </w:r>
    </w:p>
    <w:p w14:paraId="2FDB43E6" w14:textId="57AC270E" w:rsidR="004E1410" w:rsidRPr="00206649" w:rsidRDefault="004E1410" w:rsidP="007157AD">
      <w:pPr>
        <w:pStyle w:val="PlainText"/>
        <w:jc w:val="both"/>
        <w:rPr>
          <w:szCs w:val="22"/>
        </w:rPr>
      </w:pPr>
    </w:p>
    <w:p w14:paraId="026335D5" w14:textId="2CA12F98" w:rsidR="004E1410" w:rsidRPr="00206649" w:rsidRDefault="004E1410" w:rsidP="007157AD">
      <w:pPr>
        <w:pStyle w:val="PlainText"/>
        <w:jc w:val="both"/>
        <w:rPr>
          <w:szCs w:val="22"/>
        </w:rPr>
      </w:pPr>
      <w:r w:rsidRPr="00206649">
        <w:rPr>
          <w:szCs w:val="22"/>
        </w:rPr>
        <w:t>The figure shows that for the young and young adults confidence intervals are very similar across states, including the benchmark. The C</w:t>
      </w:r>
      <w:r w:rsidR="000212D5" w:rsidRPr="00206649">
        <w:rPr>
          <w:szCs w:val="22"/>
        </w:rPr>
        <w:t>I</w:t>
      </w:r>
      <w:r w:rsidRPr="00206649">
        <w:rPr>
          <w:szCs w:val="22"/>
        </w:rPr>
        <w:t xml:space="preserve">s in these age groups are relatively narrow, even in those states with lower population. In the last age groups, however, CIs are systematically wider. This suggests more variation in ages at death between ages 50 and 84. </w:t>
      </w:r>
    </w:p>
    <w:p w14:paraId="61F35690" w14:textId="50C23ABA" w:rsidR="004E1410" w:rsidRPr="00206649" w:rsidRDefault="004E1410" w:rsidP="007157AD">
      <w:pPr>
        <w:pStyle w:val="PlainText"/>
        <w:jc w:val="both"/>
        <w:rPr>
          <w:szCs w:val="22"/>
        </w:rPr>
      </w:pPr>
    </w:p>
    <w:p w14:paraId="4653E51C" w14:textId="32A155D8" w:rsidR="004E1410" w:rsidRPr="00206649" w:rsidRDefault="004E1410" w:rsidP="007157AD">
      <w:pPr>
        <w:pStyle w:val="PlainText"/>
        <w:jc w:val="both"/>
        <w:rPr>
          <w:szCs w:val="22"/>
        </w:rPr>
      </w:pPr>
      <w:r w:rsidRPr="00206649">
        <w:rPr>
          <w:szCs w:val="22"/>
        </w:rPr>
        <w:t xml:space="preserve">We added to the main manuscript in the methods section that we performed this robustness check and included the results in the supplementary material. </w:t>
      </w:r>
    </w:p>
    <w:p w14:paraId="79E9A218" w14:textId="1A25929F" w:rsidR="00DD7440" w:rsidRPr="00206649" w:rsidRDefault="00DD7440" w:rsidP="007157AD">
      <w:pPr>
        <w:pStyle w:val="PlainText"/>
        <w:jc w:val="both"/>
        <w:rPr>
          <w:szCs w:val="22"/>
        </w:rPr>
      </w:pPr>
    </w:p>
    <w:p w14:paraId="178E15D2" w14:textId="77777777" w:rsidR="004E1410" w:rsidRPr="00206649" w:rsidRDefault="004E1410" w:rsidP="004E1410">
      <w:pPr>
        <w:pStyle w:val="PlainText"/>
        <w:jc w:val="both"/>
        <w:rPr>
          <w:szCs w:val="22"/>
        </w:rPr>
      </w:pPr>
      <w:r w:rsidRPr="00206649">
        <w:rPr>
          <w:szCs w:val="22"/>
        </w:rPr>
        <w:t>References</w:t>
      </w:r>
    </w:p>
    <w:p w14:paraId="40E7C4D3" w14:textId="77777777" w:rsidR="004E1410" w:rsidRPr="00206649" w:rsidRDefault="004E1410" w:rsidP="004E1410">
      <w:pPr>
        <w:pStyle w:val="PlainText"/>
        <w:jc w:val="both"/>
        <w:rPr>
          <w:szCs w:val="22"/>
        </w:rPr>
      </w:pPr>
    </w:p>
    <w:p w14:paraId="16769A96" w14:textId="77777777" w:rsidR="004E1410" w:rsidRPr="00206649" w:rsidRDefault="004E1410" w:rsidP="004E1410">
      <w:pPr>
        <w:pStyle w:val="PlainText"/>
        <w:jc w:val="both"/>
        <w:rPr>
          <w:szCs w:val="22"/>
        </w:rPr>
      </w:pPr>
      <w:r w:rsidRPr="00206649">
        <w:rPr>
          <w:szCs w:val="22"/>
        </w:rPr>
        <w:t>Camarda, C. G. (2012). MortalitySmooth: An R package for smoothing Poisson counts with P-splines. Journal of Statistical Software, 50(1), 1-24.</w:t>
      </w:r>
    </w:p>
    <w:p w14:paraId="5F152E5A" w14:textId="77777777" w:rsidR="004E1410" w:rsidRPr="00206649" w:rsidRDefault="004E1410" w:rsidP="004E1410">
      <w:pPr>
        <w:pStyle w:val="PlainText"/>
        <w:jc w:val="both"/>
        <w:rPr>
          <w:szCs w:val="22"/>
        </w:rPr>
      </w:pPr>
    </w:p>
    <w:p w14:paraId="4AA025EF" w14:textId="77777777" w:rsidR="004E1410" w:rsidRPr="00206649" w:rsidRDefault="004E1410" w:rsidP="004E1410">
      <w:pPr>
        <w:pStyle w:val="PlainText"/>
        <w:jc w:val="both"/>
        <w:rPr>
          <w:szCs w:val="22"/>
        </w:rPr>
      </w:pPr>
      <w:r w:rsidRPr="00206649">
        <w:rPr>
          <w:szCs w:val="22"/>
        </w:rPr>
        <w:t>INEGI (2018) Population size by state in Mexico. Accessed 08/05/2018 .</w:t>
      </w:r>
    </w:p>
    <w:p w14:paraId="7CDC2999" w14:textId="77777777" w:rsidR="004E1410" w:rsidRPr="00206649" w:rsidRDefault="00341683" w:rsidP="004E1410">
      <w:pPr>
        <w:pStyle w:val="PlainText"/>
        <w:jc w:val="both"/>
        <w:rPr>
          <w:szCs w:val="22"/>
        </w:rPr>
      </w:pPr>
      <w:hyperlink r:id="rId10" w:history="1">
        <w:r w:rsidR="004E1410" w:rsidRPr="00206649">
          <w:rPr>
            <w:rStyle w:val="Hyperlink"/>
            <w:szCs w:val="22"/>
          </w:rPr>
          <w:t>http://www.beta.inegi.org.mx/app/tabulados/pxweb/inicio.html?rxid=d518b312-a32e-4d23-a8dd-08a64c187a6c&amp;db=Poblacion&amp;px=poblacion_1</w:t>
        </w:r>
      </w:hyperlink>
    </w:p>
    <w:p w14:paraId="20CE22F2" w14:textId="4D793865" w:rsidR="007D4FB2" w:rsidRPr="00206649" w:rsidRDefault="007D4FB2" w:rsidP="007157AD">
      <w:pPr>
        <w:pStyle w:val="PlainText"/>
        <w:jc w:val="both"/>
        <w:rPr>
          <w:szCs w:val="22"/>
        </w:rPr>
      </w:pPr>
    </w:p>
    <w:p w14:paraId="3E7568B0" w14:textId="2056EB40" w:rsidR="007D4FB2" w:rsidRPr="00206649" w:rsidRDefault="00B44F39" w:rsidP="007157AD">
      <w:pPr>
        <w:pStyle w:val="PlainText"/>
        <w:jc w:val="both"/>
        <w:rPr>
          <w:szCs w:val="22"/>
        </w:rPr>
      </w:pPr>
      <w:r>
        <w:rPr>
          <w:noProof/>
        </w:rPr>
        <w:lastRenderedPageBreak/>
        <w:drawing>
          <wp:inline distT="0" distB="0" distL="0" distR="0" wp14:anchorId="418BB09F" wp14:editId="3AB11B7F">
            <wp:extent cx="5943600" cy="5437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37505"/>
                    </a:xfrm>
                    <a:prstGeom prst="rect">
                      <a:avLst/>
                    </a:prstGeom>
                  </pic:spPr>
                </pic:pic>
              </a:graphicData>
            </a:graphic>
          </wp:inline>
        </w:drawing>
      </w:r>
    </w:p>
    <w:p w14:paraId="390A9A11" w14:textId="77777777" w:rsidR="00DD7440" w:rsidRPr="00206649" w:rsidRDefault="00DD7440" w:rsidP="007157AD">
      <w:pPr>
        <w:pStyle w:val="PlainText"/>
        <w:jc w:val="both"/>
        <w:rPr>
          <w:szCs w:val="22"/>
        </w:rPr>
      </w:pPr>
    </w:p>
    <w:p w14:paraId="20CB54CC" w14:textId="6C57D36A" w:rsidR="006476E3" w:rsidRPr="00206649" w:rsidRDefault="006476E3" w:rsidP="007157AD">
      <w:pPr>
        <w:pStyle w:val="PlainText"/>
        <w:jc w:val="both"/>
        <w:rPr>
          <w:b/>
          <w:szCs w:val="22"/>
        </w:rPr>
      </w:pPr>
    </w:p>
    <w:p w14:paraId="139B0695" w14:textId="74BDD455" w:rsidR="00240EAE" w:rsidRPr="00206649" w:rsidRDefault="00240EAE" w:rsidP="007157AD">
      <w:pPr>
        <w:pStyle w:val="PlainText"/>
        <w:jc w:val="both"/>
        <w:rPr>
          <w:szCs w:val="22"/>
        </w:rPr>
      </w:pPr>
    </w:p>
    <w:p w14:paraId="1E41730B" w14:textId="77777777" w:rsidR="0085651B" w:rsidRPr="00206649" w:rsidRDefault="0085651B" w:rsidP="007157AD">
      <w:pPr>
        <w:pStyle w:val="PlainText"/>
        <w:jc w:val="both"/>
        <w:rPr>
          <w:b/>
          <w:szCs w:val="22"/>
        </w:rPr>
      </w:pPr>
    </w:p>
    <w:p w14:paraId="3B92CED3" w14:textId="07E32DAB" w:rsidR="00733702" w:rsidRPr="00206649" w:rsidRDefault="00733702" w:rsidP="007157AD">
      <w:pPr>
        <w:pStyle w:val="PlainText"/>
        <w:jc w:val="both"/>
        <w:rPr>
          <w:b/>
          <w:szCs w:val="22"/>
        </w:rPr>
      </w:pPr>
      <w:r w:rsidRPr="00206649">
        <w:rPr>
          <w:b/>
          <w:szCs w:val="22"/>
        </w:rPr>
        <w:t>4.</w:t>
      </w:r>
      <w:r w:rsidRPr="00206649">
        <w:rPr>
          <w:b/>
          <w:szCs w:val="22"/>
        </w:rPr>
        <w:tab/>
        <w:t xml:space="preserve">Statistical methods: I have two concerns regarding lack of detail in this section. The authors say that “Period life tables […] were calculated following standard demographic methods” and reference the HMD protocol. However, in order to be able to replicate these results more details on specific methods used should be provided. The same issue applies to decomposition techniques. If this is too much detail for the manuscript, details can be included in the appendix. </w:t>
      </w:r>
    </w:p>
    <w:p w14:paraId="315BAD59" w14:textId="1FF235CC" w:rsidR="00D10AED" w:rsidRPr="00206649" w:rsidRDefault="00D10AED" w:rsidP="007157AD">
      <w:pPr>
        <w:pStyle w:val="PlainText"/>
        <w:jc w:val="both"/>
        <w:rPr>
          <w:b/>
          <w:szCs w:val="22"/>
        </w:rPr>
      </w:pPr>
    </w:p>
    <w:p w14:paraId="4B7BDCCD" w14:textId="6E7CF2F1" w:rsidR="00313F3F" w:rsidRPr="00206649" w:rsidRDefault="00252356" w:rsidP="00D25BD8">
      <w:pPr>
        <w:pStyle w:val="PlainText"/>
        <w:jc w:val="both"/>
        <w:rPr>
          <w:szCs w:val="22"/>
        </w:rPr>
      </w:pPr>
      <w:r w:rsidRPr="00206649">
        <w:rPr>
          <w:szCs w:val="22"/>
        </w:rPr>
        <w:t>To be clearer about the methods</w:t>
      </w:r>
      <w:r w:rsidR="00D10AED" w:rsidRPr="00206649">
        <w:rPr>
          <w:szCs w:val="22"/>
        </w:rPr>
        <w:t>.</w:t>
      </w:r>
      <w:r w:rsidR="00313F3F" w:rsidRPr="00206649">
        <w:rPr>
          <w:szCs w:val="22"/>
        </w:rPr>
        <w:t xml:space="preserve"> We did the following changes to the Methods section:</w:t>
      </w:r>
    </w:p>
    <w:p w14:paraId="1855E6E3" w14:textId="04AD50E8" w:rsidR="00313F3F" w:rsidRPr="00206649" w:rsidRDefault="00313F3F" w:rsidP="00D25BD8">
      <w:pPr>
        <w:pStyle w:val="PlainText"/>
        <w:jc w:val="both"/>
        <w:rPr>
          <w:szCs w:val="22"/>
        </w:rPr>
      </w:pPr>
    </w:p>
    <w:p w14:paraId="080582BE" w14:textId="4AA67F92" w:rsidR="00313F3F" w:rsidRPr="00206649" w:rsidRDefault="00313F3F" w:rsidP="00313F3F">
      <w:pPr>
        <w:pStyle w:val="PlainText"/>
        <w:numPr>
          <w:ilvl w:val="0"/>
          <w:numId w:val="9"/>
        </w:numPr>
        <w:jc w:val="both"/>
        <w:rPr>
          <w:i/>
          <w:szCs w:val="22"/>
        </w:rPr>
      </w:pPr>
      <w:r w:rsidRPr="00206649">
        <w:rPr>
          <w:szCs w:val="22"/>
        </w:rPr>
        <w:t xml:space="preserve">We added </w:t>
      </w:r>
      <w:r w:rsidR="00252356" w:rsidRPr="00206649">
        <w:rPr>
          <w:i/>
          <w:szCs w:val="22"/>
        </w:rPr>
        <w:t>“</w:t>
      </w:r>
      <w:r w:rsidRPr="00206649">
        <w:rPr>
          <w:i/>
          <w:szCs w:val="22"/>
        </w:rPr>
        <w:t>… To mitigate random variations over time and correct for age-heaping, these rates are adjusted in two step</w:t>
      </w:r>
      <w:r w:rsidR="008945CF" w:rsidRPr="00206649">
        <w:rPr>
          <w:i/>
          <w:szCs w:val="22"/>
        </w:rPr>
        <w:t>. First, we smooth cause-specific death counts over age and time for each state and sex separately using a 2-d p-spline..</w:t>
      </w:r>
      <w:r w:rsidRPr="00206649">
        <w:rPr>
          <w:i/>
          <w:szCs w:val="22"/>
        </w:rPr>
        <w:t>”</w:t>
      </w:r>
    </w:p>
    <w:p w14:paraId="7DBCF4C3" w14:textId="7676E3F6" w:rsidR="00313F3F" w:rsidRPr="00206649" w:rsidRDefault="008945CF" w:rsidP="00313F3F">
      <w:pPr>
        <w:pStyle w:val="PlainText"/>
        <w:numPr>
          <w:ilvl w:val="0"/>
          <w:numId w:val="9"/>
        </w:numPr>
        <w:jc w:val="both"/>
        <w:rPr>
          <w:szCs w:val="22"/>
        </w:rPr>
      </w:pPr>
      <w:r w:rsidRPr="00206649">
        <w:rPr>
          <w:szCs w:val="22"/>
        </w:rPr>
        <w:lastRenderedPageBreak/>
        <w:t xml:space="preserve">Regarding the period life tables construction, we added the reference of a standard text book for demographic analysis (Preston et al 2000), that we followed, and specifically refer the reader to Chapter 3. In this reference, a concise explanation on how to construct and interpret a life table is provided. </w:t>
      </w:r>
    </w:p>
    <w:p w14:paraId="4A1450BF" w14:textId="612A7C09" w:rsidR="008945CF" w:rsidRPr="00206649" w:rsidRDefault="008945CF" w:rsidP="00313F3F">
      <w:pPr>
        <w:pStyle w:val="PlainText"/>
        <w:numPr>
          <w:ilvl w:val="0"/>
          <w:numId w:val="9"/>
        </w:numPr>
        <w:jc w:val="both"/>
        <w:rPr>
          <w:szCs w:val="22"/>
        </w:rPr>
      </w:pPr>
      <w:r w:rsidRPr="00206649">
        <w:rPr>
          <w:szCs w:val="22"/>
        </w:rPr>
        <w:t>R</w:t>
      </w:r>
      <w:r w:rsidR="00252356" w:rsidRPr="00206649">
        <w:rPr>
          <w:szCs w:val="22"/>
        </w:rPr>
        <w:t>egarding how to calculate temporary life expectancy, we provide the main reference to the reader (Arriaga, 1984). In addition, a short description is provided in the supplemental material.</w:t>
      </w:r>
    </w:p>
    <w:p w14:paraId="35E548A0" w14:textId="27BA9745" w:rsidR="00252356" w:rsidRPr="00206649" w:rsidRDefault="00252356" w:rsidP="00313F3F">
      <w:pPr>
        <w:pStyle w:val="PlainText"/>
        <w:numPr>
          <w:ilvl w:val="0"/>
          <w:numId w:val="9"/>
        </w:numPr>
        <w:jc w:val="both"/>
        <w:rPr>
          <w:szCs w:val="22"/>
        </w:rPr>
      </w:pPr>
      <w:r w:rsidRPr="00206649">
        <w:rPr>
          <w:szCs w:val="22"/>
        </w:rPr>
        <w:t xml:space="preserve">To better describe the decomposition method, we added the next sentences: </w:t>
      </w:r>
    </w:p>
    <w:p w14:paraId="2BD2F402" w14:textId="78F61C2D" w:rsidR="005B7DE7" w:rsidRPr="00206649" w:rsidRDefault="005B7DE7" w:rsidP="005B7DE7">
      <w:pPr>
        <w:pStyle w:val="PlainText"/>
        <w:ind w:left="720"/>
        <w:jc w:val="both"/>
        <w:rPr>
          <w:i/>
          <w:szCs w:val="22"/>
        </w:rPr>
      </w:pPr>
      <w:r w:rsidRPr="00206649">
        <w:rPr>
          <w:i/>
          <w:szCs w:val="22"/>
        </w:rPr>
        <w:t>“The decomposition method used in this analysis is based on a model of demographic functions that change gradually over time.</w:t>
      </w:r>
      <w:r w:rsidRPr="00206649">
        <w:rPr>
          <w:i/>
          <w:szCs w:val="22"/>
          <w:vertAlign w:val="superscript"/>
        </w:rPr>
        <w:t>33</w:t>
      </w:r>
      <w:r w:rsidRPr="00206649">
        <w:rPr>
          <w:i/>
          <w:szCs w:val="22"/>
        </w:rPr>
        <w:t xml:space="preserve"> It is a stepwise-based demographic method and has been successfully used to decompose age and cause-specific effects on life expectancy.</w:t>
      </w:r>
      <w:r w:rsidRPr="00206649">
        <w:rPr>
          <w:i/>
          <w:szCs w:val="22"/>
          <w:vertAlign w:val="superscript"/>
        </w:rPr>
        <w:t>34</w:t>
      </w:r>
      <w:r w:rsidRPr="00206649">
        <w:rPr>
          <w:i/>
          <w:szCs w:val="22"/>
        </w:rPr>
        <w:t xml:space="preserve"> We provide a short description in the Supplemental Material and the results are fully reproducible from the R-code provided in the Data Sharing statement.”</w:t>
      </w:r>
    </w:p>
    <w:p w14:paraId="3A6D3018" w14:textId="1D8663B8" w:rsidR="005B7DE7" w:rsidRPr="00206649" w:rsidRDefault="00D10AED" w:rsidP="00D25BD8">
      <w:pPr>
        <w:pStyle w:val="PlainText"/>
        <w:numPr>
          <w:ilvl w:val="0"/>
          <w:numId w:val="9"/>
        </w:numPr>
        <w:jc w:val="both"/>
        <w:rPr>
          <w:i/>
          <w:szCs w:val="22"/>
        </w:rPr>
      </w:pPr>
      <w:r w:rsidRPr="00206649">
        <w:rPr>
          <w:szCs w:val="22"/>
        </w:rPr>
        <w:t>In addition to the Github repository with the code and data</w:t>
      </w:r>
      <w:r w:rsidR="00911D8D" w:rsidRPr="00206649">
        <w:rPr>
          <w:szCs w:val="22"/>
        </w:rPr>
        <w:t xml:space="preserve"> (</w:t>
      </w:r>
      <w:r w:rsidR="00911D8D" w:rsidRPr="00206649">
        <w:rPr>
          <w:rFonts w:ascii="Helvetica" w:hAnsi="Helvetica"/>
          <w:color w:val="444444"/>
          <w:szCs w:val="22"/>
        </w:rPr>
        <w:t>https://goo.gl/L9ppM9)</w:t>
      </w:r>
      <w:r w:rsidRPr="00206649">
        <w:rPr>
          <w:szCs w:val="22"/>
        </w:rPr>
        <w:t>, we included a short description of the decom</w:t>
      </w:r>
      <w:r w:rsidR="005B7DE7" w:rsidRPr="00206649">
        <w:rPr>
          <w:szCs w:val="22"/>
        </w:rPr>
        <w:t>position method in the appendix:</w:t>
      </w:r>
    </w:p>
    <w:p w14:paraId="66956B74" w14:textId="016F0C74" w:rsidR="00D25BD8" w:rsidRPr="00206649" w:rsidRDefault="00D25BD8" w:rsidP="005B7DE7">
      <w:pPr>
        <w:pStyle w:val="PlainText"/>
        <w:ind w:left="720"/>
        <w:jc w:val="both"/>
        <w:rPr>
          <w:i/>
          <w:szCs w:val="22"/>
        </w:rPr>
      </w:pPr>
      <w:r w:rsidRPr="00206649">
        <w:rPr>
          <w:i/>
          <w:szCs w:val="22"/>
        </w:rPr>
        <w:t xml:space="preserve">The decomposition method used in this paper </w:t>
      </w:r>
      <w:r w:rsidR="00273CC9" w:rsidRPr="00206649">
        <w:rPr>
          <w:i/>
          <w:szCs w:val="22"/>
        </w:rPr>
        <w:t xml:space="preserve">relies on a model of demographic functions based on continuous change </w:t>
      </w:r>
      <w:r w:rsidRPr="00206649">
        <w:rPr>
          <w:i/>
          <w:szCs w:val="22"/>
        </w:rPr>
        <w:t xml:space="preserve">(Horiuchi et al 2008). Suppose </w:t>
      </w:r>
      <m:oMath>
        <m:r>
          <w:rPr>
            <w:rFonts w:ascii="Cambria Math" w:hAnsi="Cambria Math"/>
            <w:szCs w:val="22"/>
          </w:rPr>
          <m:t>f</m:t>
        </m:r>
      </m:oMath>
      <w:r w:rsidRPr="00206649">
        <w:rPr>
          <w:i/>
          <w:szCs w:val="22"/>
        </w:rPr>
        <w:t xml:space="preserve"> (e.g.</w:t>
      </w:r>
      <w:r w:rsidR="00335F4A" w:rsidRPr="00206649">
        <w:rPr>
          <w:i/>
          <w:szCs w:val="22"/>
        </w:rPr>
        <w:t xml:space="preserve"> temporary life expectancy between ages 15 and 49</w:t>
      </w:r>
      <w:r w:rsidRPr="00206649">
        <w:rPr>
          <w:i/>
          <w:szCs w:val="22"/>
        </w:rPr>
        <w:t xml:space="preserve">) is a differentiable function of </w:t>
      </w:r>
      <m:oMath>
        <m:r>
          <w:rPr>
            <w:rFonts w:ascii="Cambria Math" w:hAnsi="Cambria Math"/>
            <w:szCs w:val="22"/>
          </w:rPr>
          <m:t>n</m:t>
        </m:r>
      </m:oMath>
      <w:r w:rsidRPr="00206649">
        <w:rPr>
          <w:i/>
          <w:szCs w:val="22"/>
        </w:rPr>
        <w:t xml:space="preserve"> covariates (e.g. each age-cause specific mortality rate) denoted by the vector </w:t>
      </w:r>
      <m:oMath>
        <m:r>
          <m:rPr>
            <m:sty m:val="bi"/>
          </m:rPr>
          <w:rPr>
            <w:rFonts w:ascii="Cambria Math" w:hAnsi="Cambria Math"/>
            <w:szCs w:val="22"/>
          </w:rPr>
          <m:t>A</m:t>
        </m:r>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r>
          <w:rPr>
            <w:rFonts w:ascii="Cambria Math" w:hAnsi="Cambria Math"/>
            <w:szCs w:val="22"/>
          </w:rPr>
          <m:t>, …,</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n</m:t>
            </m:r>
          </m:sub>
        </m:sSub>
        <m:sSup>
          <m:sSupPr>
            <m:ctrlPr>
              <w:rPr>
                <w:rFonts w:ascii="Cambria Math" w:hAnsi="Cambria Math"/>
                <w:i/>
                <w:szCs w:val="22"/>
              </w:rPr>
            </m:ctrlPr>
          </m:sSupPr>
          <m:e>
            <m:r>
              <w:rPr>
                <w:rFonts w:ascii="Cambria Math" w:hAnsi="Cambria Math"/>
                <w:szCs w:val="22"/>
              </w:rPr>
              <m:t>]</m:t>
            </m:r>
          </m:e>
          <m:sup>
            <m:r>
              <w:rPr>
                <w:rFonts w:ascii="Cambria Math" w:hAnsi="Cambria Math"/>
                <w:szCs w:val="22"/>
              </w:rPr>
              <m:t>T</m:t>
            </m:r>
          </m:sup>
        </m:sSup>
      </m:oMath>
      <w:r w:rsidRPr="00206649">
        <w:rPr>
          <w:i/>
          <w:szCs w:val="22"/>
        </w:rPr>
        <w:t>.</w:t>
      </w:r>
      <w:r w:rsidR="00335F4A" w:rsidRPr="00206649">
        <w:rPr>
          <w:i/>
          <w:szCs w:val="22"/>
        </w:rPr>
        <w:t xml:space="preserve"> If we have observations of two populations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m:t>
            </m:r>
          </m:sub>
        </m:sSub>
      </m:oMath>
      <w:r w:rsidR="00335F4A" w:rsidRPr="00206649">
        <w:rPr>
          <w:i/>
          <w:szCs w:val="22"/>
        </w:rPr>
        <w:t xml:space="preserve"> and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sub>
        </m:sSub>
      </m:oMath>
      <w:r w:rsidR="00BE25E6" w:rsidRPr="00206649">
        <w:rPr>
          <w:i/>
          <w:szCs w:val="22"/>
        </w:rPr>
        <w:t xml:space="preserve">. </w:t>
      </w:r>
      <w:r w:rsidR="00D3475A" w:rsidRPr="00206649">
        <w:rPr>
          <w:i/>
          <w:szCs w:val="22"/>
        </w:rPr>
        <w:t xml:space="preserve">We assume that </w:t>
      </w:r>
      <w:r w:rsidRPr="00206649">
        <w:rPr>
          <w:i/>
          <w:szCs w:val="22"/>
        </w:rPr>
        <w:t xml:space="preserve">that </w:t>
      </w:r>
      <m:oMath>
        <m:r>
          <m:rPr>
            <m:sty m:val="bi"/>
          </m:rPr>
          <w:rPr>
            <w:rFonts w:ascii="Cambria Math" w:hAnsi="Cambria Math"/>
            <w:szCs w:val="22"/>
          </w:rPr>
          <m:t>A</m:t>
        </m:r>
      </m:oMath>
      <w:r w:rsidRPr="00206649">
        <w:rPr>
          <w:i/>
          <w:szCs w:val="22"/>
        </w:rPr>
        <w:t xml:space="preserve"> is a differentiable function between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m:t>
            </m:r>
          </m:sub>
        </m:sSub>
      </m:oMath>
      <w:r w:rsidRPr="00206649">
        <w:rPr>
          <w:i/>
          <w:szCs w:val="22"/>
        </w:rPr>
        <w:t xml:space="preserve"> and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sub>
        </m:sSub>
      </m:oMath>
      <w:r w:rsidRPr="00206649">
        <w:rPr>
          <w:i/>
          <w:szCs w:val="22"/>
        </w:rPr>
        <w:t xml:space="preserve">, </w:t>
      </w:r>
      <w:r w:rsidR="00D3475A" w:rsidRPr="00206649">
        <w:rPr>
          <w:i/>
          <w:szCs w:val="22"/>
        </w:rPr>
        <w:t>then the</w:t>
      </w:r>
      <w:r w:rsidRPr="00206649">
        <w:rPr>
          <w:i/>
          <w:szCs w:val="22"/>
        </w:rPr>
        <w:t xml:space="preserve"> difference in </w:t>
      </w:r>
      <m:oMath>
        <m:r>
          <w:rPr>
            <w:rFonts w:ascii="Cambria Math" w:hAnsi="Cambria Math"/>
            <w:szCs w:val="22"/>
          </w:rPr>
          <m:t>f</m:t>
        </m:r>
      </m:oMath>
      <w:r w:rsidRPr="00206649">
        <w:rPr>
          <w:i/>
          <w:szCs w:val="22"/>
        </w:rPr>
        <w:t xml:space="preserve"> between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m:t>
            </m:r>
          </m:sub>
        </m:sSub>
      </m:oMath>
      <w:r w:rsidRPr="00206649">
        <w:rPr>
          <w:i/>
          <w:szCs w:val="22"/>
        </w:rPr>
        <w:t xml:space="preserve"> and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sub>
        </m:sSub>
      </m:oMath>
      <w:r w:rsidRPr="00206649">
        <w:rPr>
          <w:i/>
          <w:szCs w:val="22"/>
        </w:rPr>
        <w:t xml:space="preserve"> can be expressed as follows:</w:t>
      </w:r>
    </w:p>
    <w:p w14:paraId="0D483D3A" w14:textId="5A69BC49" w:rsidR="00D25BD8" w:rsidRPr="00206649" w:rsidRDefault="00341683" w:rsidP="00D25BD8">
      <w:pPr>
        <w:pStyle w:val="PlainText"/>
        <w:jc w:val="both"/>
        <w:rPr>
          <w:i/>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1</m:t>
              </m:r>
            </m:sub>
          </m:sSub>
          <m:r>
            <w:rPr>
              <w:rFonts w:ascii="Cambria Math" w:hAnsi="Cambria Math"/>
              <w:szCs w:val="22"/>
            </w:rPr>
            <m:t xml:space="preserve">= </m:t>
          </m:r>
          <m:nary>
            <m:naryPr>
              <m:chr m:val="∑"/>
              <m:limLoc m:val="undOvr"/>
              <m:ctrlPr>
                <w:rPr>
                  <w:rFonts w:ascii="Cambria Math" w:hAnsi="Cambria Math"/>
                  <w:i/>
                  <w:szCs w:val="22"/>
                </w:rPr>
              </m:ctrlPr>
            </m:naryPr>
            <m:sub>
              <m:r>
                <w:rPr>
                  <w:rFonts w:ascii="Cambria Math" w:hAnsi="Cambria Math"/>
                  <w:szCs w:val="22"/>
                </w:rPr>
                <m:t>i=1</m:t>
              </m:r>
            </m:sub>
            <m:sup>
              <m:r>
                <w:rPr>
                  <w:rFonts w:ascii="Cambria Math" w:hAnsi="Cambria Math"/>
                  <w:szCs w:val="22"/>
                </w:rPr>
                <m:t>n</m:t>
              </m:r>
            </m:sup>
            <m:e>
              <m:nary>
                <m:naryPr>
                  <m:limLoc m:val="subSup"/>
                  <m:ctrlPr>
                    <w:rPr>
                      <w:rFonts w:ascii="Cambria Math" w:hAnsi="Cambria Math"/>
                      <w:i/>
                      <w:szCs w:val="22"/>
                    </w:rPr>
                  </m:ctrlPr>
                </m:naryPr>
                <m:sub>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P</m:t>
                          </m:r>
                        </m:e>
                        <m:sub>
                          <m:r>
                            <w:rPr>
                              <w:rFonts w:ascii="Cambria Math" w:hAnsi="Cambria Math"/>
                              <w:szCs w:val="22"/>
                            </w:rPr>
                            <m:t>1</m:t>
                          </m:r>
                        </m:sub>
                      </m:sSub>
                    </m:e>
                  </m:d>
                </m:sub>
                <m:sup>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sub>
                      </m:sSub>
                    </m:e>
                  </m:d>
                </m:sup>
                <m:e>
                  <m:f>
                    <m:fPr>
                      <m:ctrlPr>
                        <w:rPr>
                          <w:rFonts w:ascii="Cambria Math" w:hAnsi="Cambria Math"/>
                          <w:i/>
                          <w:szCs w:val="22"/>
                        </w:rPr>
                      </m:ctrlPr>
                    </m:fPr>
                    <m:num>
                      <m:r>
                        <w:rPr>
                          <w:rFonts w:ascii="Cambria Math" w:hAnsi="Cambria Math"/>
                          <w:szCs w:val="22"/>
                        </w:rPr>
                        <m:t>∂f</m:t>
                      </m:r>
                    </m:num>
                    <m:den>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den>
                  </m:f>
                  <m:r>
                    <w:rPr>
                      <w:rFonts w:ascii="Cambria Math" w:hAnsi="Cambria Math"/>
                      <w:szCs w:val="22"/>
                    </w:rPr>
                    <m:t>d</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r>
                    <w:rPr>
                      <w:rFonts w:ascii="Cambria Math" w:hAnsi="Cambria Math"/>
                      <w:szCs w:val="22"/>
                    </w:rPr>
                    <m:t>=</m:t>
                  </m:r>
                  <m:nary>
                    <m:naryPr>
                      <m:chr m:val="∑"/>
                      <m:limLoc m:val="undOvr"/>
                      <m:ctrlPr>
                        <w:rPr>
                          <w:rFonts w:ascii="Cambria Math" w:hAnsi="Cambria Math"/>
                          <w:i/>
                          <w:szCs w:val="22"/>
                        </w:rPr>
                      </m:ctrlPr>
                    </m:naryPr>
                    <m:sub>
                      <m:r>
                        <w:rPr>
                          <w:rFonts w:ascii="Cambria Math" w:hAnsi="Cambria Math"/>
                          <w:szCs w:val="22"/>
                        </w:rPr>
                        <m:t>i=1</m:t>
                      </m:r>
                    </m:sub>
                    <m:sup>
                      <m:r>
                        <w:rPr>
                          <w:rFonts w:ascii="Cambria Math" w:hAnsi="Cambria Math"/>
                          <w:szCs w:val="22"/>
                        </w:rPr>
                        <m:t>n</m:t>
                      </m:r>
                    </m:sup>
                    <m:e>
                      <m:sSub>
                        <m:sSubPr>
                          <m:ctrlPr>
                            <w:rPr>
                              <w:rFonts w:ascii="Cambria Math" w:hAnsi="Cambria Math"/>
                              <w:i/>
                              <w:szCs w:val="22"/>
                            </w:rPr>
                          </m:ctrlPr>
                        </m:sSubPr>
                        <m:e>
                          <m:r>
                            <w:rPr>
                              <w:rFonts w:ascii="Cambria Math" w:hAnsi="Cambria Math" w:cs="Cambria Math"/>
                              <w:szCs w:val="22"/>
                            </w:rPr>
                            <m:t>c</m:t>
                          </m:r>
                        </m:e>
                        <m:sub>
                          <m:r>
                            <w:rPr>
                              <w:rFonts w:ascii="Cambria Math" w:hAnsi="Cambria Math"/>
                              <w:szCs w:val="22"/>
                            </w:rPr>
                            <m:t>i</m:t>
                          </m:r>
                        </m:sub>
                      </m:sSub>
                    </m:e>
                  </m:nary>
                </m:e>
              </m:nary>
            </m:e>
          </m:nary>
          <m:r>
            <w:rPr>
              <w:rFonts w:ascii="Cambria Math" w:hAnsi="Cambria Math"/>
              <w:szCs w:val="22"/>
            </w:rPr>
            <m:t>,                                 (2)</m:t>
          </m:r>
        </m:oMath>
      </m:oMathPara>
    </w:p>
    <w:p w14:paraId="276185C1" w14:textId="59548F4E" w:rsidR="00D25BD8" w:rsidRPr="00206649" w:rsidRDefault="00D25BD8" w:rsidP="005B7DE7">
      <w:pPr>
        <w:pStyle w:val="PlainText"/>
        <w:ind w:left="720"/>
        <w:jc w:val="both"/>
        <w:rPr>
          <w:i/>
          <w:szCs w:val="22"/>
        </w:rPr>
      </w:pPr>
      <w:r w:rsidRPr="00206649">
        <w:rPr>
          <w:i/>
          <w:szCs w:val="22"/>
        </w:rPr>
        <w:t xml:space="preserve">where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i</m:t>
            </m:r>
          </m:sub>
        </m:sSub>
      </m:oMath>
      <w:r w:rsidRPr="00206649">
        <w:rPr>
          <w:i/>
          <w:szCs w:val="22"/>
        </w:rPr>
        <w:t xml:space="preserve"> is the total change in </w:t>
      </w:r>
      <m:oMath>
        <m:r>
          <w:rPr>
            <w:rFonts w:ascii="Cambria Math" w:hAnsi="Cambria Math"/>
            <w:szCs w:val="22"/>
          </w:rPr>
          <m:t>f</m:t>
        </m:r>
      </m:oMath>
      <w:r w:rsidRPr="00206649">
        <w:rPr>
          <w:i/>
          <w:szCs w:val="22"/>
        </w:rPr>
        <w:t xml:space="preserve"> (e.g. </w:t>
      </w:r>
      <w:r w:rsidR="00D3475A" w:rsidRPr="00206649">
        <w:rPr>
          <w:i/>
          <w:szCs w:val="22"/>
        </w:rPr>
        <w:t>temporary life expectancy</w:t>
      </w:r>
      <w:r w:rsidRPr="00206649">
        <w:rPr>
          <w:i/>
          <w:szCs w:val="22"/>
        </w:rPr>
        <w:t xml:space="preserve">) produced by changes in the </w:t>
      </w:r>
      <m:oMath>
        <m:r>
          <w:rPr>
            <w:rFonts w:ascii="Cambria Math" w:hAnsi="Cambria Math"/>
            <w:szCs w:val="22"/>
          </w:rPr>
          <m:t>i</m:t>
        </m:r>
      </m:oMath>
      <w:r w:rsidRPr="00206649">
        <w:rPr>
          <w:i/>
          <w:szCs w:val="22"/>
        </w:rPr>
        <w:t xml:space="preserve">-th covariate, </w:t>
      </w:r>
      <m:oMath>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oMath>
      <w:r w:rsidRPr="00206649">
        <w:rPr>
          <w:i/>
          <w:szCs w:val="22"/>
        </w:rPr>
        <w:t xml:space="preserve">. The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i</m:t>
            </m:r>
          </m:sub>
        </m:sSub>
      </m:oMath>
      <w:r w:rsidRPr="00206649">
        <w:rPr>
          <w:i/>
          <w:szCs w:val="22"/>
        </w:rPr>
        <w:t xml:space="preserve">'s in equation (2) were computed with numerical integration following the algorithm suggested by Horiuchi et al (2008). </w:t>
      </w:r>
    </w:p>
    <w:p w14:paraId="13CA1DA1" w14:textId="77777777" w:rsidR="00D25BD8" w:rsidRPr="00206649" w:rsidRDefault="00D25BD8" w:rsidP="007157AD">
      <w:pPr>
        <w:pStyle w:val="PlainText"/>
        <w:jc w:val="both"/>
        <w:rPr>
          <w:szCs w:val="22"/>
        </w:rPr>
      </w:pPr>
    </w:p>
    <w:p w14:paraId="3F845032" w14:textId="703A03A5" w:rsidR="00A37C12" w:rsidRPr="00206649" w:rsidRDefault="008945CF" w:rsidP="007157AD">
      <w:pPr>
        <w:pStyle w:val="PlainText"/>
        <w:jc w:val="both"/>
        <w:rPr>
          <w:szCs w:val="22"/>
        </w:rPr>
      </w:pPr>
      <w:r w:rsidRPr="00206649">
        <w:rPr>
          <w:szCs w:val="22"/>
        </w:rPr>
        <w:t>References</w:t>
      </w:r>
      <w:r w:rsidR="00252356" w:rsidRPr="00206649">
        <w:rPr>
          <w:szCs w:val="22"/>
        </w:rPr>
        <w:t xml:space="preserve"> added</w:t>
      </w:r>
    </w:p>
    <w:p w14:paraId="125A9062" w14:textId="77777777" w:rsidR="008945CF" w:rsidRPr="00206649" w:rsidRDefault="008945CF" w:rsidP="007157AD">
      <w:pPr>
        <w:pStyle w:val="PlainText"/>
        <w:jc w:val="both"/>
        <w:rPr>
          <w:szCs w:val="22"/>
        </w:rPr>
      </w:pPr>
    </w:p>
    <w:p w14:paraId="5252B6BE" w14:textId="3D0B8F60" w:rsidR="008945CF" w:rsidRPr="00206649" w:rsidRDefault="008945CF" w:rsidP="007157AD">
      <w:pPr>
        <w:pStyle w:val="PlainText"/>
        <w:jc w:val="both"/>
        <w:rPr>
          <w:szCs w:val="22"/>
        </w:rPr>
      </w:pPr>
      <w:r w:rsidRPr="00206649">
        <w:rPr>
          <w:szCs w:val="22"/>
        </w:rPr>
        <w:t>Preston, Samuel, Patrick Heuveline, and Michel Guillot. "Demography: measuring and modeling population processes." (2000).</w:t>
      </w:r>
    </w:p>
    <w:p w14:paraId="7F882C0A" w14:textId="6F5A7547" w:rsidR="00252356" w:rsidRPr="00206649" w:rsidRDefault="00252356" w:rsidP="007157AD">
      <w:pPr>
        <w:pStyle w:val="PlainText"/>
        <w:jc w:val="both"/>
        <w:rPr>
          <w:szCs w:val="22"/>
        </w:rPr>
      </w:pPr>
    </w:p>
    <w:p w14:paraId="7C520AB1" w14:textId="0AABBCF2" w:rsidR="00252356" w:rsidRPr="00206649" w:rsidRDefault="00252356" w:rsidP="007157AD">
      <w:pPr>
        <w:pStyle w:val="PlainText"/>
        <w:jc w:val="both"/>
        <w:rPr>
          <w:szCs w:val="22"/>
        </w:rPr>
      </w:pPr>
      <w:r w:rsidRPr="00206649">
        <w:rPr>
          <w:noProof/>
          <w:szCs w:val="22"/>
        </w:rPr>
        <w:t xml:space="preserve">Arriaga EE. Measuring and explaining the change in life expectancies. </w:t>
      </w:r>
      <w:r w:rsidRPr="00206649">
        <w:rPr>
          <w:i/>
          <w:noProof/>
          <w:szCs w:val="22"/>
        </w:rPr>
        <w:t>Demography</w:t>
      </w:r>
      <w:r w:rsidRPr="00206649">
        <w:rPr>
          <w:noProof/>
          <w:szCs w:val="22"/>
        </w:rPr>
        <w:t xml:space="preserve"> 1984;21(1):83-96.</w:t>
      </w:r>
    </w:p>
    <w:p w14:paraId="2458D1E2" w14:textId="77777777" w:rsidR="008945CF" w:rsidRPr="00206649" w:rsidRDefault="008945CF" w:rsidP="007157AD">
      <w:pPr>
        <w:pStyle w:val="PlainText"/>
        <w:jc w:val="both"/>
        <w:rPr>
          <w:szCs w:val="22"/>
        </w:rPr>
      </w:pPr>
    </w:p>
    <w:p w14:paraId="0A15492D" w14:textId="77777777" w:rsidR="00733702" w:rsidRPr="00206649" w:rsidRDefault="00733702" w:rsidP="007157AD">
      <w:pPr>
        <w:pStyle w:val="PlainText"/>
        <w:jc w:val="both"/>
        <w:rPr>
          <w:b/>
          <w:szCs w:val="22"/>
        </w:rPr>
      </w:pPr>
      <w:r w:rsidRPr="00206649">
        <w:rPr>
          <w:b/>
          <w:szCs w:val="22"/>
        </w:rPr>
        <w:t>Results:</w:t>
      </w:r>
    </w:p>
    <w:p w14:paraId="6DA509A1" w14:textId="775AAB59" w:rsidR="00733702" w:rsidRPr="00206649" w:rsidRDefault="00733702" w:rsidP="007157AD">
      <w:pPr>
        <w:pStyle w:val="PlainText"/>
        <w:jc w:val="both"/>
        <w:rPr>
          <w:b/>
          <w:szCs w:val="22"/>
        </w:rPr>
      </w:pPr>
      <w:r w:rsidRPr="00206649">
        <w:rPr>
          <w:b/>
          <w:szCs w:val="22"/>
        </w:rPr>
        <w:t>5.</w:t>
      </w:r>
      <w:r w:rsidRPr="00206649">
        <w:rPr>
          <w:b/>
          <w:szCs w:val="22"/>
        </w:rPr>
        <w:tab/>
        <w:t xml:space="preserve">The graphical representation of results is remarkable and clear. </w:t>
      </w:r>
    </w:p>
    <w:p w14:paraId="6C6C7921" w14:textId="43068804" w:rsidR="00C16129" w:rsidRPr="00206649" w:rsidRDefault="00C16129" w:rsidP="007157AD">
      <w:pPr>
        <w:pStyle w:val="PlainText"/>
        <w:jc w:val="both"/>
        <w:rPr>
          <w:b/>
          <w:szCs w:val="22"/>
        </w:rPr>
      </w:pPr>
    </w:p>
    <w:p w14:paraId="6C9CCAF5" w14:textId="6C7CAE93" w:rsidR="00C16129" w:rsidRPr="00206649" w:rsidRDefault="00C16129" w:rsidP="007157AD">
      <w:pPr>
        <w:pStyle w:val="PlainText"/>
        <w:jc w:val="both"/>
        <w:rPr>
          <w:szCs w:val="22"/>
        </w:rPr>
      </w:pPr>
      <w:r w:rsidRPr="00206649">
        <w:rPr>
          <w:szCs w:val="22"/>
        </w:rPr>
        <w:t>Thanks, all the graphs are reproducible by following the code</w:t>
      </w:r>
      <w:r w:rsidR="00086932" w:rsidRPr="00206649">
        <w:rPr>
          <w:szCs w:val="22"/>
        </w:rPr>
        <w:t xml:space="preserve"> made available </w:t>
      </w:r>
      <w:r w:rsidRPr="00206649">
        <w:rPr>
          <w:szCs w:val="22"/>
        </w:rPr>
        <w:t>on Github</w:t>
      </w:r>
      <w:r w:rsidR="00911D8D" w:rsidRPr="00206649">
        <w:rPr>
          <w:szCs w:val="22"/>
        </w:rPr>
        <w:t xml:space="preserve"> (</w:t>
      </w:r>
      <w:r w:rsidR="00911D8D" w:rsidRPr="00206649">
        <w:rPr>
          <w:rFonts w:ascii="Helvetica" w:hAnsi="Helvetica"/>
          <w:color w:val="444444"/>
          <w:szCs w:val="22"/>
        </w:rPr>
        <w:t>https://goo.gl/L9ppM9)</w:t>
      </w:r>
      <w:r w:rsidRPr="00206649">
        <w:rPr>
          <w:szCs w:val="22"/>
        </w:rPr>
        <w:t>.</w:t>
      </w:r>
    </w:p>
    <w:p w14:paraId="4FA7F76D" w14:textId="77777777" w:rsidR="00C16129" w:rsidRPr="00206649" w:rsidRDefault="00C16129" w:rsidP="007157AD">
      <w:pPr>
        <w:pStyle w:val="PlainText"/>
        <w:jc w:val="both"/>
        <w:rPr>
          <w:b/>
          <w:szCs w:val="22"/>
        </w:rPr>
      </w:pPr>
    </w:p>
    <w:p w14:paraId="6F6F4DDC" w14:textId="086A66D3" w:rsidR="00733702" w:rsidRPr="00206649" w:rsidRDefault="00733702" w:rsidP="007157AD">
      <w:pPr>
        <w:pStyle w:val="PlainText"/>
        <w:jc w:val="both"/>
        <w:rPr>
          <w:b/>
          <w:szCs w:val="22"/>
        </w:rPr>
      </w:pPr>
      <w:r w:rsidRPr="00206649">
        <w:rPr>
          <w:b/>
          <w:szCs w:val="22"/>
        </w:rPr>
        <w:t>6.</w:t>
      </w:r>
      <w:r w:rsidRPr="00206649">
        <w:rPr>
          <w:b/>
          <w:szCs w:val="22"/>
        </w:rPr>
        <w:tab/>
        <w:t xml:space="preserve">Figure 3 is a little bit hard to read. I’d suggest that the authors repeat the name of each state in each column, and join these names by lines (the same lines in the current figure). Otherwise, trying to figure out the ranking in ages 50-84 is very hard. </w:t>
      </w:r>
    </w:p>
    <w:p w14:paraId="74F759AE" w14:textId="7488CD88" w:rsidR="00C16129" w:rsidRPr="00206649" w:rsidRDefault="00C16129" w:rsidP="007157AD">
      <w:pPr>
        <w:pStyle w:val="PlainText"/>
        <w:jc w:val="both"/>
        <w:rPr>
          <w:b/>
          <w:szCs w:val="22"/>
        </w:rPr>
      </w:pPr>
    </w:p>
    <w:p w14:paraId="3F41CA46" w14:textId="64D67D9C" w:rsidR="00C16129" w:rsidRDefault="00C16129" w:rsidP="007157AD">
      <w:pPr>
        <w:pStyle w:val="PlainText"/>
        <w:jc w:val="both"/>
        <w:rPr>
          <w:szCs w:val="22"/>
        </w:rPr>
      </w:pPr>
      <w:r w:rsidRPr="00206649">
        <w:rPr>
          <w:szCs w:val="22"/>
        </w:rPr>
        <w:t>We thank the reviewer for this suggestion. We followed his advice and produced the graph as he suggested. The outcome, which reads better than the original one, looks like:</w:t>
      </w:r>
    </w:p>
    <w:p w14:paraId="139DBD11" w14:textId="5A332251" w:rsidR="00703FC9" w:rsidRPr="00206649" w:rsidRDefault="00703FC9" w:rsidP="00703FC9">
      <w:pPr>
        <w:pStyle w:val="PlainText"/>
        <w:jc w:val="center"/>
        <w:rPr>
          <w:szCs w:val="22"/>
        </w:rPr>
      </w:pPr>
      <w:r>
        <w:rPr>
          <w:noProof/>
        </w:rPr>
        <w:lastRenderedPageBreak/>
        <w:drawing>
          <wp:inline distT="0" distB="0" distL="0" distR="0" wp14:anchorId="76B86905" wp14:editId="4FA9AE14">
            <wp:extent cx="3024554" cy="4018521"/>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7189" cy="4022022"/>
                    </a:xfrm>
                    <a:prstGeom prst="rect">
                      <a:avLst/>
                    </a:prstGeom>
                  </pic:spPr>
                </pic:pic>
              </a:graphicData>
            </a:graphic>
          </wp:inline>
        </w:drawing>
      </w:r>
    </w:p>
    <w:p w14:paraId="5FC25BA0" w14:textId="77777777" w:rsidR="00A37C12" w:rsidRPr="00206649" w:rsidRDefault="00A37C12" w:rsidP="007157AD">
      <w:pPr>
        <w:pStyle w:val="PlainText"/>
        <w:jc w:val="both"/>
        <w:rPr>
          <w:b/>
          <w:szCs w:val="22"/>
        </w:rPr>
      </w:pPr>
    </w:p>
    <w:p w14:paraId="1C0AF22D" w14:textId="77777777" w:rsidR="00733702" w:rsidRPr="00206649" w:rsidRDefault="00733702" w:rsidP="007157AD">
      <w:pPr>
        <w:pStyle w:val="PlainText"/>
        <w:jc w:val="both"/>
        <w:rPr>
          <w:b/>
          <w:szCs w:val="22"/>
        </w:rPr>
      </w:pPr>
      <w:r w:rsidRPr="00206649">
        <w:rPr>
          <w:b/>
          <w:szCs w:val="22"/>
        </w:rPr>
        <w:t>Discussion</w:t>
      </w:r>
    </w:p>
    <w:p w14:paraId="6AF9688F" w14:textId="544524D4" w:rsidR="00733702" w:rsidRPr="00206649" w:rsidRDefault="00733702" w:rsidP="007157AD">
      <w:pPr>
        <w:pStyle w:val="PlainText"/>
        <w:jc w:val="both"/>
        <w:rPr>
          <w:b/>
          <w:szCs w:val="22"/>
        </w:rPr>
      </w:pPr>
      <w:r w:rsidRPr="00206649">
        <w:rPr>
          <w:b/>
          <w:szCs w:val="22"/>
        </w:rPr>
        <w:t>7.</w:t>
      </w:r>
      <w:r w:rsidRPr="00206649">
        <w:rPr>
          <w:b/>
          <w:szCs w:val="22"/>
        </w:rPr>
        <w:tab/>
        <w:t xml:space="preserve">Limitations: some of the aspects indicated in comments 2-3 above should be at least mentioned as limitations of this study. </w:t>
      </w:r>
    </w:p>
    <w:p w14:paraId="60AB7E55" w14:textId="77777777" w:rsidR="00737190" w:rsidRPr="00206649" w:rsidRDefault="00737190" w:rsidP="007157AD">
      <w:pPr>
        <w:pStyle w:val="PlainText"/>
        <w:jc w:val="both"/>
        <w:rPr>
          <w:b/>
          <w:szCs w:val="22"/>
        </w:rPr>
      </w:pPr>
    </w:p>
    <w:p w14:paraId="2E1A7C7D" w14:textId="06147580" w:rsidR="00737190" w:rsidRPr="00206649" w:rsidRDefault="00737190" w:rsidP="007157AD">
      <w:pPr>
        <w:pStyle w:val="PlainText"/>
        <w:jc w:val="both"/>
        <w:rPr>
          <w:szCs w:val="22"/>
        </w:rPr>
      </w:pPr>
      <w:r w:rsidRPr="00206649">
        <w:rPr>
          <w:szCs w:val="22"/>
        </w:rPr>
        <w:t xml:space="preserve">Thank you. We have now included sentences emphasizing the two issues in comments 2-3. </w:t>
      </w:r>
    </w:p>
    <w:p w14:paraId="7BA2AF08" w14:textId="4B12C2C7" w:rsidR="00A37C12" w:rsidRPr="00206649" w:rsidRDefault="00A37C12" w:rsidP="007157AD">
      <w:pPr>
        <w:pStyle w:val="PlainText"/>
        <w:jc w:val="both"/>
        <w:rPr>
          <w:szCs w:val="22"/>
        </w:rPr>
      </w:pPr>
    </w:p>
    <w:p w14:paraId="29C73618" w14:textId="507C63C7" w:rsidR="009978F2" w:rsidRPr="00206649" w:rsidRDefault="009978F2" w:rsidP="007157AD">
      <w:pPr>
        <w:pStyle w:val="PlainText"/>
        <w:jc w:val="both"/>
        <w:rPr>
          <w:szCs w:val="22"/>
        </w:rPr>
      </w:pPr>
      <w:r w:rsidRPr="00206649">
        <w:rPr>
          <w:szCs w:val="22"/>
        </w:rPr>
        <w:t>We added the next sentences to the Strengths and limitations section:</w:t>
      </w:r>
    </w:p>
    <w:p w14:paraId="05AEA19B" w14:textId="3A0ECEFE" w:rsidR="009978F2" w:rsidRPr="00206649" w:rsidRDefault="009978F2" w:rsidP="009978F2">
      <w:pPr>
        <w:pStyle w:val="PlainText"/>
        <w:numPr>
          <w:ilvl w:val="0"/>
          <w:numId w:val="11"/>
        </w:numPr>
        <w:jc w:val="both"/>
        <w:rPr>
          <w:i/>
          <w:szCs w:val="22"/>
        </w:rPr>
      </w:pPr>
      <w:r w:rsidRPr="00206649">
        <w:rPr>
          <w:rFonts w:cstheme="minorHAnsi"/>
          <w:i/>
          <w:szCs w:val="22"/>
        </w:rPr>
        <w:t>In addition, underreported deaths and ill-defined causes of death could potentially bias our results. Mexico is among the countries with high-quality data according with the Pan American Health Organization’s criteria. Underreported deaths are estimated to be around 0.8%, (WHO 2018, OPS 2014) while ill-defined causes of death represented 2.1% in the beginning of the century and has decreased to 1.7% more recently (OPS 2014). Therefore, we expect our main findings to hold given the small percentages of ill-defined and underreported deaths.</w:t>
      </w:r>
    </w:p>
    <w:p w14:paraId="25EC63EF" w14:textId="77777777" w:rsidR="00206649" w:rsidRPr="00206649" w:rsidRDefault="00206649" w:rsidP="00206649">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Times New Roman" w:hAnsi="Calibri" w:cstheme="minorHAnsi"/>
          <w:i/>
          <w:lang w:val="en-US"/>
        </w:rPr>
      </w:pPr>
      <w:r w:rsidRPr="00206649">
        <w:rPr>
          <w:rFonts w:ascii="Calibri" w:eastAsia="Times New Roman" w:hAnsi="Calibri" w:cstheme="minorHAnsi"/>
          <w:i/>
          <w:lang w:val="en-US"/>
        </w:rPr>
        <w:t>Finally, small population sizes could bias our results. As a robustness check, we calculated Confidence Intervals (95%) for all our estimates of temporary life expectancy, including the benchmark (Supplementary material), and did not find major differences with our main results.</w:t>
      </w:r>
    </w:p>
    <w:p w14:paraId="6527A882" w14:textId="77777777" w:rsidR="001D762D" w:rsidRPr="00206649" w:rsidRDefault="001D762D" w:rsidP="00206649">
      <w:pPr>
        <w:pStyle w:val="PlainText"/>
        <w:jc w:val="both"/>
        <w:rPr>
          <w:i/>
          <w:szCs w:val="22"/>
        </w:rPr>
      </w:pPr>
    </w:p>
    <w:p w14:paraId="696FFAD6" w14:textId="77777777" w:rsidR="009978F2" w:rsidRPr="00206649" w:rsidRDefault="009978F2" w:rsidP="007157AD">
      <w:pPr>
        <w:pStyle w:val="PlainText"/>
        <w:jc w:val="both"/>
        <w:rPr>
          <w:b/>
          <w:szCs w:val="22"/>
        </w:rPr>
      </w:pPr>
    </w:p>
    <w:p w14:paraId="7D2D2956" w14:textId="6CAF8482" w:rsidR="00733702" w:rsidRPr="00206649" w:rsidRDefault="00733702" w:rsidP="007157AD">
      <w:pPr>
        <w:pStyle w:val="PlainText"/>
        <w:jc w:val="both"/>
        <w:rPr>
          <w:b/>
          <w:szCs w:val="22"/>
        </w:rPr>
      </w:pPr>
      <w:r w:rsidRPr="00206649">
        <w:rPr>
          <w:b/>
          <w:szCs w:val="22"/>
        </w:rPr>
        <w:t>8.</w:t>
      </w:r>
      <w:r w:rsidRPr="00206649">
        <w:rPr>
          <w:b/>
          <w:szCs w:val="22"/>
        </w:rPr>
        <w:tab/>
        <w:t>Conclusion: the last paragraph of the conclusion seems very speculative. In particular, given that the authors spend a lot of effort in describing results by homicides and their prevention, it is unclear how the encouragement of “physical and healthy activities” fits into the results of this study.</w:t>
      </w:r>
    </w:p>
    <w:p w14:paraId="247B5CC6" w14:textId="72B9D679" w:rsidR="00B85B7A" w:rsidRPr="00206649" w:rsidRDefault="00B85B7A" w:rsidP="007157AD">
      <w:pPr>
        <w:pStyle w:val="PlainText"/>
        <w:jc w:val="both"/>
        <w:rPr>
          <w:b/>
          <w:szCs w:val="22"/>
        </w:rPr>
      </w:pPr>
    </w:p>
    <w:p w14:paraId="5E65D944" w14:textId="0C064DE8" w:rsidR="00B85B7A" w:rsidRPr="00206649" w:rsidRDefault="00B85B7A" w:rsidP="007157AD">
      <w:pPr>
        <w:pStyle w:val="PlainText"/>
        <w:jc w:val="both"/>
        <w:rPr>
          <w:szCs w:val="22"/>
        </w:rPr>
      </w:pPr>
      <w:r w:rsidRPr="00206649">
        <w:rPr>
          <w:szCs w:val="22"/>
        </w:rPr>
        <w:lastRenderedPageBreak/>
        <w:t xml:space="preserve">We thank the reviewer for his suggestion. </w:t>
      </w:r>
      <w:r w:rsidR="005D4160" w:rsidRPr="00206649">
        <w:rPr>
          <w:szCs w:val="22"/>
        </w:rPr>
        <w:t>We rephrased the last sentence to make clear the role of physical and healthy activities, and highlighted the need of new policies to mitigate violence in Mexico. It now reads:</w:t>
      </w:r>
    </w:p>
    <w:p w14:paraId="68E77CF8" w14:textId="1EB365CA" w:rsidR="005D4160" w:rsidRPr="00206649" w:rsidRDefault="005D4160" w:rsidP="007157AD">
      <w:pPr>
        <w:pStyle w:val="PlainText"/>
        <w:jc w:val="both"/>
        <w:rPr>
          <w:szCs w:val="22"/>
        </w:rPr>
      </w:pPr>
    </w:p>
    <w:p w14:paraId="6354AF7A" w14:textId="722DA4D1" w:rsidR="005D4160" w:rsidRPr="00206649" w:rsidRDefault="005D4160" w:rsidP="007157AD">
      <w:pPr>
        <w:pStyle w:val="PlainText"/>
        <w:jc w:val="both"/>
        <w:rPr>
          <w:i/>
          <w:szCs w:val="22"/>
        </w:rPr>
      </w:pPr>
      <w:r w:rsidRPr="00206649">
        <w:rPr>
          <w:i/>
          <w:szCs w:val="22"/>
        </w:rPr>
        <w:t>“As many developing countries, Mexico will have to face these new challenges with a broad strategy. This should include a continuous and adaptable health system ready for the current and future health adversities at the physical, mental and societal levels. Many other institutions will also have to coevolve including importantly the development of an education system that embraces and encourages physical and healthy activities to diminish risk factors that contribute to the high prevalence of obesity and cirrhosis in Mexico. Finally, the burden of violence in recent years demonstrates the failure of current policies trying to mitigate violence in the country. New strategies that replace current ones are needed and embracing evidence based policies (e.g. drug policies) could be a new venue to eradicate the consequences of violence on the Mexican population.”</w:t>
      </w:r>
    </w:p>
    <w:p w14:paraId="1E16D758" w14:textId="77777777" w:rsidR="005D4160" w:rsidRPr="00206649" w:rsidRDefault="005D4160" w:rsidP="007157AD">
      <w:pPr>
        <w:pStyle w:val="PlainText"/>
        <w:jc w:val="both"/>
        <w:rPr>
          <w:szCs w:val="22"/>
        </w:rPr>
      </w:pPr>
    </w:p>
    <w:p w14:paraId="61DDC85D" w14:textId="26D7447F" w:rsidR="00733702" w:rsidRPr="00206649" w:rsidRDefault="00733702" w:rsidP="007157AD">
      <w:pPr>
        <w:jc w:val="both"/>
        <w:rPr>
          <w:sz w:val="22"/>
        </w:rPr>
      </w:pPr>
      <w:r w:rsidRPr="00206649">
        <w:rPr>
          <w:sz w:val="22"/>
        </w:rPr>
        <w:br w:type="page"/>
      </w:r>
    </w:p>
    <w:p w14:paraId="3EE32E5A" w14:textId="77777777" w:rsidR="00733702" w:rsidRPr="00206649" w:rsidRDefault="00733702" w:rsidP="007157AD">
      <w:pPr>
        <w:pStyle w:val="PlainText"/>
        <w:jc w:val="both"/>
        <w:rPr>
          <w:b/>
          <w:szCs w:val="22"/>
        </w:rPr>
      </w:pPr>
      <w:r w:rsidRPr="00206649">
        <w:rPr>
          <w:b/>
          <w:szCs w:val="22"/>
        </w:rPr>
        <w:lastRenderedPageBreak/>
        <w:t>Reviewer: 3</w:t>
      </w:r>
    </w:p>
    <w:p w14:paraId="2C76050B" w14:textId="77777777" w:rsidR="00733702" w:rsidRPr="00206649" w:rsidRDefault="00733702" w:rsidP="007157AD">
      <w:pPr>
        <w:pStyle w:val="PlainText"/>
        <w:jc w:val="both"/>
        <w:rPr>
          <w:b/>
          <w:szCs w:val="22"/>
        </w:rPr>
      </w:pPr>
      <w:r w:rsidRPr="00206649">
        <w:rPr>
          <w:b/>
          <w:szCs w:val="22"/>
        </w:rPr>
        <w:t>Reviewer Name: Sally C Curtin</w:t>
      </w:r>
    </w:p>
    <w:p w14:paraId="46AC4260" w14:textId="77777777" w:rsidR="00733702" w:rsidRPr="00206649" w:rsidRDefault="00733702" w:rsidP="007157AD">
      <w:pPr>
        <w:pStyle w:val="PlainText"/>
        <w:jc w:val="both"/>
        <w:rPr>
          <w:b/>
          <w:szCs w:val="22"/>
        </w:rPr>
      </w:pPr>
      <w:r w:rsidRPr="00206649">
        <w:rPr>
          <w:b/>
          <w:szCs w:val="22"/>
        </w:rPr>
        <w:t>Institution and Country: National Center for Health Statistics/CDC, USA Competing Interests: None declared.</w:t>
      </w:r>
    </w:p>
    <w:p w14:paraId="597B2C5F" w14:textId="77777777" w:rsidR="00733702" w:rsidRPr="00206649" w:rsidRDefault="00733702" w:rsidP="007157AD">
      <w:pPr>
        <w:pStyle w:val="PlainText"/>
        <w:jc w:val="both"/>
        <w:rPr>
          <w:b/>
          <w:szCs w:val="22"/>
        </w:rPr>
      </w:pPr>
    </w:p>
    <w:p w14:paraId="2B6B8A24" w14:textId="1CAA9F49" w:rsidR="00733702" w:rsidRPr="00206649" w:rsidRDefault="00733702" w:rsidP="007157AD">
      <w:pPr>
        <w:jc w:val="both"/>
        <w:rPr>
          <w:rFonts w:ascii="Calibri" w:eastAsia="Times New Roman" w:hAnsi="Calibri" w:cs="Times New Roman"/>
          <w:b/>
          <w:sz w:val="22"/>
        </w:rPr>
      </w:pPr>
      <w:r w:rsidRPr="00206649">
        <w:rPr>
          <w:rFonts w:ascii="Calibri" w:eastAsia="Times New Roman" w:hAnsi="Calibri" w:cs="Times New Roman"/>
          <w:b/>
          <w:sz w:val="22"/>
        </w:rPr>
        <w:t>I think this is a very well-written, well-executed article.  My primary concern is whether suicide is adequately dealt with, especially in the young adult population.  It is lumped in with "other causes" in the analyses but the graph in figure 1 shows that it increased nearly steadily over the period.  In the US, suicide is the 2nd or 3rd leading cause of death among young adults.  So my question is whether some of the deterioration in survival for young adults is due to suicide as well as homicide.  I know that suicide is not as much of an issue in Mexico as in the US, but I think that suicide should be directly discussed.  In the US, suicide is one of the causes of death that has lead to a slight decline in life expectancy (see Kochanek et al, Mortality in the United States, 2016).  Suicide may also be an issue with the older adults, but other natural causes are much more prominent there than for the younger adults.  While I think that the article is quite strong, discussing suicide more fully would strengthen it even more.</w:t>
      </w:r>
    </w:p>
    <w:p w14:paraId="58AD6DF6" w14:textId="3E27030B" w:rsidR="005D1388" w:rsidRPr="00206649" w:rsidRDefault="005D1388" w:rsidP="007157AD">
      <w:pPr>
        <w:jc w:val="both"/>
        <w:rPr>
          <w:rFonts w:ascii="Calibri" w:eastAsia="Times New Roman" w:hAnsi="Calibri" w:cs="Times New Roman"/>
          <w:b/>
          <w:sz w:val="22"/>
        </w:rPr>
      </w:pPr>
    </w:p>
    <w:p w14:paraId="79AC97E2" w14:textId="4D7892BA" w:rsidR="005D1388" w:rsidRPr="00206649" w:rsidRDefault="005D1388" w:rsidP="007157AD">
      <w:pPr>
        <w:jc w:val="both"/>
        <w:rPr>
          <w:rFonts w:ascii="Calibri" w:eastAsia="Times New Roman" w:hAnsi="Calibri" w:cs="Times New Roman"/>
          <w:sz w:val="22"/>
        </w:rPr>
      </w:pPr>
      <w:r w:rsidRPr="00206649">
        <w:rPr>
          <w:rFonts w:ascii="Calibri" w:eastAsia="Times New Roman" w:hAnsi="Calibri" w:cs="Times New Roman"/>
          <w:sz w:val="22"/>
        </w:rPr>
        <w:t>We thank the Reviewer for her careful reading and suggestions that helped improving the cause-of-death analysis of the paper. In this regard, it is true that suicide in Mexico is becoming a relevant public health issue. It has been increasing since the 1990s</w:t>
      </w:r>
      <w:r w:rsidR="007B3AF3" w:rsidRPr="00206649">
        <w:rPr>
          <w:rFonts w:ascii="Calibri" w:eastAsia="Times New Roman" w:hAnsi="Calibri" w:cs="Times New Roman"/>
          <w:sz w:val="22"/>
        </w:rPr>
        <w:t xml:space="preserve"> (</w:t>
      </w:r>
      <w:r w:rsidR="00943ADC" w:rsidRPr="00206649">
        <w:rPr>
          <w:rFonts w:ascii="Calibri" w:eastAsia="Times New Roman" w:hAnsi="Calibri" w:cs="Times New Roman"/>
          <w:sz w:val="22"/>
        </w:rPr>
        <w:t>Figure 1 in the supplementary material</w:t>
      </w:r>
      <w:r w:rsidR="007B3AF3" w:rsidRPr="00206649">
        <w:rPr>
          <w:rFonts w:ascii="Calibri" w:eastAsia="Times New Roman" w:hAnsi="Calibri" w:cs="Times New Roman"/>
          <w:sz w:val="22"/>
        </w:rPr>
        <w:t>)</w:t>
      </w:r>
      <w:r w:rsidRPr="00206649">
        <w:rPr>
          <w:rFonts w:ascii="Calibri" w:eastAsia="Times New Roman" w:hAnsi="Calibri" w:cs="Times New Roman"/>
          <w:sz w:val="22"/>
        </w:rPr>
        <w:t xml:space="preserve"> and just few studies have focused on</w:t>
      </w:r>
      <w:r w:rsidR="00443D53" w:rsidRPr="00206649">
        <w:rPr>
          <w:rFonts w:ascii="Calibri" w:eastAsia="Times New Roman" w:hAnsi="Calibri" w:cs="Times New Roman"/>
          <w:sz w:val="22"/>
        </w:rPr>
        <w:t xml:space="preserve"> suicide mortality</w:t>
      </w:r>
      <w:r w:rsidRPr="00206649">
        <w:rPr>
          <w:rFonts w:ascii="Calibri" w:eastAsia="Times New Roman" w:hAnsi="Calibri" w:cs="Times New Roman"/>
          <w:sz w:val="22"/>
        </w:rPr>
        <w:t xml:space="preserve">. Although, among males, higher mortality of accidents and homicides mostly explain mortality trends recently, suicide is a cause of death that should receive more attention. Therefore, </w:t>
      </w:r>
      <w:r w:rsidR="00443D53" w:rsidRPr="00206649">
        <w:rPr>
          <w:rFonts w:ascii="Calibri" w:eastAsia="Times New Roman" w:hAnsi="Calibri" w:cs="Times New Roman"/>
          <w:sz w:val="22"/>
        </w:rPr>
        <w:t xml:space="preserve">we followed her suggestion and included suicide in the set of causes that we look independently within our concept of Avoidable/Amenable mortality. We found the </w:t>
      </w:r>
      <w:r w:rsidR="00392BF2" w:rsidRPr="00206649">
        <w:rPr>
          <w:rFonts w:ascii="Calibri" w:eastAsia="Times New Roman" w:hAnsi="Calibri" w:cs="Times New Roman"/>
          <w:sz w:val="22"/>
        </w:rPr>
        <w:t xml:space="preserve">following </w:t>
      </w:r>
      <w:r w:rsidR="00443D53" w:rsidRPr="00206649">
        <w:rPr>
          <w:rFonts w:ascii="Calibri" w:eastAsia="Times New Roman" w:hAnsi="Calibri" w:cs="Times New Roman"/>
          <w:sz w:val="22"/>
        </w:rPr>
        <w:t>results:</w:t>
      </w:r>
    </w:p>
    <w:p w14:paraId="1D15C67C" w14:textId="61A74186" w:rsidR="00A4606F" w:rsidRPr="00206649" w:rsidRDefault="00A4606F" w:rsidP="007157AD">
      <w:pPr>
        <w:jc w:val="both"/>
        <w:rPr>
          <w:rFonts w:ascii="Calibri" w:eastAsia="Times New Roman" w:hAnsi="Calibri" w:cs="Times New Roman"/>
          <w:sz w:val="22"/>
        </w:rPr>
      </w:pPr>
    </w:p>
    <w:p w14:paraId="6889940F" w14:textId="252A5C38" w:rsidR="00A4606F" w:rsidRPr="00206649" w:rsidRDefault="00A4606F" w:rsidP="007157AD">
      <w:pPr>
        <w:jc w:val="both"/>
        <w:rPr>
          <w:rFonts w:ascii="Calibri" w:eastAsia="Times New Roman" w:hAnsi="Calibri" w:cs="Times New Roman"/>
          <w:sz w:val="22"/>
        </w:rPr>
      </w:pPr>
      <w:r w:rsidRPr="00206649">
        <w:rPr>
          <w:rFonts w:ascii="Calibri" w:eastAsia="Times New Roman" w:hAnsi="Calibri" w:cs="Times New Roman"/>
          <w:sz w:val="22"/>
        </w:rPr>
        <w:t xml:space="preserve">Figure 1 shows the contribution of suicide mortality to the gap between each state with the benchmark. The color scale goes from 0 to the largest observed in the country (around 2.8 years by homicide mortality in Chihuahua in 2010-2011). The contribution of suicide, </w:t>
      </w:r>
      <w:r w:rsidR="000E5E52" w:rsidRPr="00206649">
        <w:rPr>
          <w:rFonts w:ascii="Calibri" w:eastAsia="Times New Roman" w:hAnsi="Calibri" w:cs="Times New Roman"/>
          <w:sz w:val="22"/>
        </w:rPr>
        <w:t>even though</w:t>
      </w:r>
      <w:r w:rsidRPr="00206649">
        <w:rPr>
          <w:rFonts w:ascii="Calibri" w:eastAsia="Times New Roman" w:hAnsi="Calibri" w:cs="Times New Roman"/>
          <w:sz w:val="22"/>
        </w:rPr>
        <w:t xml:space="preserve"> has increased over the years (</w:t>
      </w:r>
      <w:r w:rsidR="00DE712A" w:rsidRPr="00206649">
        <w:rPr>
          <w:rFonts w:ascii="Calibri" w:eastAsia="Times New Roman" w:hAnsi="Calibri" w:cs="Times New Roman"/>
          <w:sz w:val="22"/>
        </w:rPr>
        <w:t xml:space="preserve">more than </w:t>
      </w:r>
      <w:r w:rsidRPr="00206649">
        <w:rPr>
          <w:rFonts w:ascii="Calibri" w:eastAsia="Times New Roman" w:hAnsi="Calibri" w:cs="Times New Roman"/>
          <w:sz w:val="22"/>
        </w:rPr>
        <w:t>6,000 deaths</w:t>
      </w:r>
      <w:r w:rsidR="00DE712A" w:rsidRPr="00206649">
        <w:rPr>
          <w:rFonts w:ascii="Calibri" w:eastAsia="Times New Roman" w:hAnsi="Calibri" w:cs="Times New Roman"/>
          <w:sz w:val="22"/>
        </w:rPr>
        <w:t xml:space="preserve"> in 2015</w:t>
      </w:r>
      <w:r w:rsidRPr="00206649">
        <w:rPr>
          <w:rFonts w:ascii="Calibri" w:eastAsia="Times New Roman" w:hAnsi="Calibri" w:cs="Times New Roman"/>
          <w:sz w:val="22"/>
        </w:rPr>
        <w:t>)</w:t>
      </w:r>
      <w:r w:rsidR="000E5E52" w:rsidRPr="00206649">
        <w:rPr>
          <w:rFonts w:ascii="Calibri" w:eastAsia="Times New Roman" w:hAnsi="Calibri" w:cs="Times New Roman"/>
          <w:sz w:val="22"/>
        </w:rPr>
        <w:t xml:space="preserve">, is below three months in </w:t>
      </w:r>
      <w:r w:rsidR="00373794" w:rsidRPr="00206649">
        <w:rPr>
          <w:rFonts w:ascii="Calibri" w:eastAsia="Times New Roman" w:hAnsi="Calibri" w:cs="Times New Roman"/>
          <w:sz w:val="22"/>
        </w:rPr>
        <w:t xml:space="preserve">almost every state in the three </w:t>
      </w:r>
      <w:r w:rsidR="000E5E52" w:rsidRPr="00206649">
        <w:rPr>
          <w:rFonts w:ascii="Calibri" w:eastAsia="Times New Roman" w:hAnsi="Calibri" w:cs="Times New Roman"/>
          <w:sz w:val="22"/>
        </w:rPr>
        <w:t>age group</w:t>
      </w:r>
      <w:r w:rsidR="00373794" w:rsidRPr="00206649">
        <w:rPr>
          <w:rFonts w:ascii="Calibri" w:eastAsia="Times New Roman" w:hAnsi="Calibri" w:cs="Times New Roman"/>
          <w:sz w:val="22"/>
        </w:rPr>
        <w:t>s</w:t>
      </w:r>
      <w:r w:rsidR="000E5E52" w:rsidRPr="00206649">
        <w:rPr>
          <w:rFonts w:ascii="Calibri" w:eastAsia="Times New Roman" w:hAnsi="Calibri" w:cs="Times New Roman"/>
          <w:sz w:val="22"/>
        </w:rPr>
        <w:t xml:space="preserve"> for males.</w:t>
      </w:r>
      <w:r w:rsidR="00DE712A" w:rsidRPr="00206649">
        <w:rPr>
          <w:rFonts w:ascii="Calibri" w:eastAsia="Times New Roman" w:hAnsi="Calibri" w:cs="Times New Roman"/>
          <w:sz w:val="22"/>
        </w:rPr>
        <w:t xml:space="preserve"> This could be due to the small proportion representing in overall mortality. For example, in 2015 655.7 thousand deaths were registered (INEGI, 2018), this means that suicides represent less than 1% of the total mortality. Secondly, if suicide mortality is similar in all states, then the contribution to the benchmark would also be very small because of the close values of suicide mortality. </w:t>
      </w:r>
      <w:r w:rsidR="00373794" w:rsidRPr="00206649">
        <w:rPr>
          <w:rFonts w:ascii="Calibri" w:eastAsia="Times New Roman" w:hAnsi="Calibri" w:cs="Times New Roman"/>
          <w:sz w:val="22"/>
        </w:rPr>
        <w:t xml:space="preserve">However, particularly in states in the South, they do explain around one quarter of year with the benchmark. </w:t>
      </w:r>
      <w:r w:rsidR="00DE712A" w:rsidRPr="00206649">
        <w:rPr>
          <w:rFonts w:ascii="Calibri" w:eastAsia="Times New Roman" w:hAnsi="Calibri" w:cs="Times New Roman"/>
          <w:sz w:val="22"/>
        </w:rPr>
        <w:t xml:space="preserve">We chose to include this analysis in the supplementary material for the interested reader. For visualization purposes, since our graphs are already dense, we do not include the negligible effects of suicide in the figures in the paper and include suicide in the ‘residual’ category. Nevertheless, in addition to including suicide in the cause-of-death classification and looked at it independently, we acknowledge the increase in suicide mortality and call for further research in the discussion section. </w:t>
      </w:r>
    </w:p>
    <w:p w14:paraId="39D8E722" w14:textId="6C937DFA" w:rsidR="00443D53" w:rsidRPr="00206649" w:rsidRDefault="00443D53" w:rsidP="007157AD">
      <w:pPr>
        <w:jc w:val="both"/>
        <w:rPr>
          <w:rFonts w:ascii="Calibri" w:eastAsia="Times New Roman" w:hAnsi="Calibri" w:cs="Times New Roman"/>
          <w:sz w:val="22"/>
        </w:rPr>
      </w:pPr>
    </w:p>
    <w:p w14:paraId="7154CE56" w14:textId="208130CF" w:rsidR="00443D53" w:rsidRPr="00206649" w:rsidRDefault="00443D53" w:rsidP="007157AD">
      <w:pPr>
        <w:jc w:val="both"/>
        <w:rPr>
          <w:rFonts w:ascii="Calibri" w:eastAsia="Times New Roman" w:hAnsi="Calibri" w:cs="Times New Roman"/>
          <w:sz w:val="22"/>
        </w:rPr>
      </w:pPr>
      <w:r w:rsidRPr="00206649">
        <w:rPr>
          <w:rFonts w:ascii="Calibri" w:eastAsia="Times New Roman" w:hAnsi="Calibri" w:cs="Times New Roman"/>
          <w:sz w:val="22"/>
        </w:rPr>
        <w:t>We did the next changes to the manuscript:</w:t>
      </w:r>
    </w:p>
    <w:p w14:paraId="173A3C29" w14:textId="0A299732" w:rsidR="00443D53" w:rsidRPr="00206649" w:rsidRDefault="00F30A06" w:rsidP="007157AD">
      <w:pPr>
        <w:pStyle w:val="ListParagraph"/>
        <w:numPr>
          <w:ilvl w:val="0"/>
          <w:numId w:val="8"/>
        </w:numPr>
        <w:jc w:val="both"/>
        <w:rPr>
          <w:rFonts w:ascii="Calibri" w:eastAsia="Times New Roman" w:hAnsi="Calibri" w:cs="Times New Roman"/>
        </w:rPr>
      </w:pPr>
      <w:r w:rsidRPr="00206649">
        <w:rPr>
          <w:rFonts w:ascii="Calibri" w:eastAsia="Times New Roman" w:hAnsi="Calibri" w:cs="Times New Roman"/>
        </w:rPr>
        <w:t>In the section of Data sources &amp; Methods we included suicide in the classification of causes of death:</w:t>
      </w:r>
    </w:p>
    <w:p w14:paraId="153AAD70" w14:textId="2C93069B" w:rsidR="00DE712A" w:rsidRPr="00206649" w:rsidRDefault="00F30A06" w:rsidP="007157AD">
      <w:pPr>
        <w:pStyle w:val="ListParagraph"/>
        <w:jc w:val="both"/>
        <w:rPr>
          <w:rFonts w:ascii="Calibri" w:eastAsia="Times New Roman" w:hAnsi="Calibri" w:cs="Times New Roman"/>
          <w:i/>
          <w:lang w:val="en-US"/>
        </w:rPr>
      </w:pPr>
      <w:r w:rsidRPr="00206649">
        <w:rPr>
          <w:rFonts w:ascii="Calibri" w:eastAsia="Times New Roman" w:hAnsi="Calibri" w:cs="Times New Roman"/>
          <w:i/>
          <w:lang w:val="en-US"/>
        </w:rPr>
        <w:t>“…Likewise, we separate homicide, suicide and road traffic accidents because they have emerged as leading causes of death among young people, and the first one recently had a sizeable impact on life expectancy in Mexico.”</w:t>
      </w:r>
    </w:p>
    <w:p w14:paraId="67BB0F80" w14:textId="1AB565DC" w:rsidR="00901BB2" w:rsidRPr="00206649" w:rsidRDefault="00A30F1E" w:rsidP="00901BB2">
      <w:pPr>
        <w:pStyle w:val="ListParagraph"/>
        <w:numPr>
          <w:ilvl w:val="0"/>
          <w:numId w:val="8"/>
        </w:numPr>
        <w:jc w:val="both"/>
        <w:rPr>
          <w:rFonts w:ascii="Calibri" w:eastAsia="Times New Roman" w:hAnsi="Calibri" w:cs="Times New Roman"/>
        </w:rPr>
      </w:pPr>
      <w:r w:rsidRPr="00206649">
        <w:rPr>
          <w:rFonts w:ascii="Calibri" w:eastAsia="Times New Roman" w:hAnsi="Calibri" w:cs="Times New Roman"/>
        </w:rPr>
        <w:t xml:space="preserve">In the discussion </w:t>
      </w:r>
      <w:r w:rsidR="00B5210A" w:rsidRPr="00206649">
        <w:rPr>
          <w:rFonts w:ascii="Calibri" w:eastAsia="Times New Roman" w:hAnsi="Calibri" w:cs="Times New Roman"/>
        </w:rPr>
        <w:t>section,</w:t>
      </w:r>
      <w:r w:rsidRPr="00206649">
        <w:rPr>
          <w:rFonts w:ascii="Calibri" w:eastAsia="Times New Roman" w:hAnsi="Calibri" w:cs="Times New Roman"/>
        </w:rPr>
        <w:t xml:space="preserve"> we added the next sentences and references:</w:t>
      </w:r>
    </w:p>
    <w:p w14:paraId="3D2DA50C" w14:textId="7C8B9394" w:rsidR="00901BB2" w:rsidRPr="00206649" w:rsidRDefault="00901BB2" w:rsidP="00901BB2">
      <w:pPr>
        <w:pStyle w:val="ListParagraph"/>
        <w:jc w:val="both"/>
        <w:rPr>
          <w:rFonts w:ascii="Calibri" w:eastAsia="Times New Roman" w:hAnsi="Calibri" w:cs="Times New Roman"/>
          <w:i/>
        </w:rPr>
      </w:pPr>
      <w:r w:rsidRPr="00206649">
        <w:rPr>
          <w:rFonts w:ascii="Calibri" w:eastAsia="Times New Roman" w:hAnsi="Calibri" w:cs="Times New Roman"/>
          <w:i/>
        </w:rPr>
        <w:lastRenderedPageBreak/>
        <w:t xml:space="preserve">“… </w:t>
      </w:r>
      <w:r w:rsidR="00F52BFE" w:rsidRPr="00206649">
        <w:rPr>
          <w:rFonts w:ascii="Calibri" w:eastAsia="Times New Roman" w:hAnsi="Calibri" w:cs="Times New Roman"/>
          <w:i/>
        </w:rPr>
        <w:t>t</w:t>
      </w:r>
      <w:r w:rsidRPr="00206649">
        <w:rPr>
          <w:rFonts w:ascii="Calibri" w:eastAsia="Times New Roman" w:hAnsi="Calibri" w:cs="Times New Roman"/>
          <w:i/>
        </w:rPr>
        <w:t>he exposure that people have had to violence has triggered mental health problems, e.g. population perceived vulnerability (Canudas-Romo et al. 2016). At the same time suicide is strongly linked to mental disorders (</w:t>
      </w:r>
      <w:r w:rsidRPr="00206649">
        <w:rPr>
          <w:rFonts w:ascii="Arial" w:hAnsi="Arial" w:cs="Arial"/>
          <w:color w:val="222222"/>
          <w:shd w:val="clear" w:color="auto" w:fill="FFFFFF"/>
        </w:rPr>
        <w:t>Zalsman</w:t>
      </w:r>
      <w:r w:rsidRPr="00206649">
        <w:rPr>
          <w:rFonts w:ascii="Calibri" w:eastAsia="Times New Roman" w:hAnsi="Calibri" w:cs="Times New Roman"/>
          <w:i/>
        </w:rPr>
        <w:t xml:space="preserve"> et al 2016). Thus, if the Mexican health system does not have proper interventions to handle the mental health needs of the population, an increase in suicides might be observed in the future.”</w:t>
      </w:r>
    </w:p>
    <w:p w14:paraId="621B58DE" w14:textId="2FAD6804" w:rsidR="00901BB2" w:rsidRPr="00206649" w:rsidRDefault="00901BB2" w:rsidP="00901BB2">
      <w:pPr>
        <w:pStyle w:val="ListParagraph"/>
        <w:jc w:val="both"/>
        <w:rPr>
          <w:rFonts w:ascii="Calibri" w:eastAsia="Times New Roman" w:hAnsi="Calibri" w:cs="Times New Roman"/>
          <w:i/>
        </w:rPr>
      </w:pPr>
    </w:p>
    <w:p w14:paraId="38D4F240" w14:textId="2D0EAF19" w:rsidR="00901BB2" w:rsidRPr="00206649" w:rsidRDefault="00901BB2" w:rsidP="00B5210A">
      <w:pPr>
        <w:pStyle w:val="ListParagraph"/>
        <w:jc w:val="both"/>
        <w:rPr>
          <w:rFonts w:ascii="Calibri" w:eastAsia="Times New Roman" w:hAnsi="Calibri" w:cs="Times New Roman"/>
          <w:i/>
        </w:rPr>
      </w:pPr>
      <w:r w:rsidRPr="00206649">
        <w:rPr>
          <w:rFonts w:ascii="Calibri" w:eastAsia="Times New Roman" w:hAnsi="Calibri" w:cs="Times New Roman"/>
          <w:i/>
        </w:rPr>
        <w:t>R</w:t>
      </w:r>
      <w:r w:rsidR="00B5210A" w:rsidRPr="00206649">
        <w:rPr>
          <w:rFonts w:ascii="Calibri" w:eastAsia="Times New Roman" w:hAnsi="Calibri" w:cs="Times New Roman"/>
          <w:i/>
        </w:rPr>
        <w:t>eferences</w:t>
      </w:r>
    </w:p>
    <w:p w14:paraId="2760143F" w14:textId="77777777" w:rsidR="00B5210A" w:rsidRPr="00206649" w:rsidRDefault="00B5210A" w:rsidP="00B5210A">
      <w:pPr>
        <w:pStyle w:val="ListParagraph"/>
        <w:jc w:val="both"/>
        <w:rPr>
          <w:rFonts w:ascii="Calibri" w:eastAsia="Times New Roman" w:hAnsi="Calibri" w:cs="Times New Roman"/>
          <w:i/>
        </w:rPr>
      </w:pPr>
    </w:p>
    <w:p w14:paraId="14924DE0" w14:textId="75D0DCA0" w:rsidR="00901BB2" w:rsidRPr="00206649" w:rsidRDefault="00901BB2" w:rsidP="00901BB2">
      <w:pPr>
        <w:pStyle w:val="ListParagraph"/>
        <w:jc w:val="both"/>
        <w:rPr>
          <w:rFonts w:ascii="Calibri" w:eastAsia="Times New Roman" w:hAnsi="Calibri" w:cs="Times New Roman"/>
        </w:rPr>
      </w:pPr>
      <w:r w:rsidRPr="00206649">
        <w:rPr>
          <w:rFonts w:ascii="Calibri" w:eastAsia="Times New Roman" w:hAnsi="Calibri" w:cs="Times New Roman"/>
        </w:rPr>
        <w:t>Zalsman, G., Hawton, K., Wasserman, D., van Heeringen, K., Arensman, E., Sarchiapone, M., ... &amp; Purebl, G. (2016). Suicide prevention strategies revisited: 10-year systematic review. The Lancet Psychiatry, 3(7), 646-659.</w:t>
      </w:r>
    </w:p>
    <w:p w14:paraId="68ACE5A7" w14:textId="2016DADF" w:rsidR="00901BB2" w:rsidRPr="00206649" w:rsidRDefault="00901BB2" w:rsidP="00901BB2">
      <w:pPr>
        <w:pStyle w:val="ListParagraph"/>
        <w:jc w:val="both"/>
        <w:rPr>
          <w:rFonts w:ascii="Calibri" w:eastAsia="Times New Roman" w:hAnsi="Calibri" w:cs="Times New Roman"/>
        </w:rPr>
      </w:pPr>
    </w:p>
    <w:p w14:paraId="27D75F53" w14:textId="616D9397" w:rsidR="00901BB2" w:rsidRPr="00206649" w:rsidRDefault="00901BB2" w:rsidP="00901BB2">
      <w:pPr>
        <w:pStyle w:val="ListParagraph"/>
        <w:jc w:val="both"/>
        <w:rPr>
          <w:rFonts w:ascii="Calibri" w:eastAsia="Times New Roman" w:hAnsi="Calibri" w:cs="Times New Roman"/>
        </w:rPr>
      </w:pPr>
      <w:r w:rsidRPr="00206649">
        <w:rPr>
          <w:rFonts w:ascii="Calibri" w:eastAsia="Times New Roman" w:hAnsi="Calibri" w:cs="Times New Roman"/>
        </w:rPr>
        <w:t>Canudas-Romo, V., Aburto, J. M., García-Guerrero, V. M., &amp; Beltrán-Sánchez, H. (2016). Mexico's epidemic of violence and its public health significance on average length of life. J Epidemiol Community Health, jech-2015.</w:t>
      </w:r>
    </w:p>
    <w:p w14:paraId="5E1B2235" w14:textId="77777777" w:rsidR="00901BB2" w:rsidRPr="00206649" w:rsidRDefault="00901BB2" w:rsidP="00901BB2">
      <w:pPr>
        <w:pStyle w:val="ListParagraph"/>
        <w:jc w:val="both"/>
        <w:rPr>
          <w:rFonts w:ascii="Calibri" w:eastAsia="Times New Roman" w:hAnsi="Calibri" w:cs="Times New Roman"/>
        </w:rPr>
      </w:pPr>
    </w:p>
    <w:p w14:paraId="41CDCCE5" w14:textId="2FA10515" w:rsidR="00901BB2" w:rsidRPr="00206649" w:rsidRDefault="00901BB2" w:rsidP="00901BB2">
      <w:pPr>
        <w:pStyle w:val="ListParagraph"/>
        <w:jc w:val="both"/>
        <w:rPr>
          <w:rFonts w:ascii="Calibri" w:eastAsia="Times New Roman" w:hAnsi="Calibri" w:cs="Times New Roman"/>
        </w:rPr>
      </w:pPr>
    </w:p>
    <w:p w14:paraId="4DD91A99" w14:textId="2B3B7BE0" w:rsidR="007D7943" w:rsidRPr="00206649" w:rsidRDefault="007D7943" w:rsidP="007157AD">
      <w:pPr>
        <w:pStyle w:val="ListParagraph"/>
        <w:numPr>
          <w:ilvl w:val="0"/>
          <w:numId w:val="8"/>
        </w:numPr>
        <w:jc w:val="both"/>
        <w:rPr>
          <w:rFonts w:ascii="Calibri" w:eastAsia="Times New Roman" w:hAnsi="Calibri" w:cs="Times New Roman"/>
        </w:rPr>
      </w:pPr>
      <w:r w:rsidRPr="00206649">
        <w:rPr>
          <w:rFonts w:ascii="Calibri" w:eastAsia="Times New Roman" w:hAnsi="Calibri" w:cs="Times New Roman"/>
        </w:rPr>
        <w:t>In the supplementary file, we included a subcategory with ICD 9 (E950-E959) and 10 (U03, X60-X84, Y87.0) codes for suicide and self-inflicted injuries.</w:t>
      </w:r>
    </w:p>
    <w:p w14:paraId="2C36BE0B" w14:textId="456E0D52" w:rsidR="00DE712A" w:rsidRPr="00206649" w:rsidRDefault="00DE712A" w:rsidP="007157AD">
      <w:pPr>
        <w:pStyle w:val="ListParagraph"/>
        <w:numPr>
          <w:ilvl w:val="0"/>
          <w:numId w:val="8"/>
        </w:numPr>
        <w:jc w:val="both"/>
        <w:rPr>
          <w:rFonts w:ascii="Calibri" w:eastAsia="Times New Roman" w:hAnsi="Calibri" w:cs="Times New Roman"/>
        </w:rPr>
      </w:pPr>
      <w:r w:rsidRPr="00206649">
        <w:rPr>
          <w:rFonts w:ascii="Calibri" w:eastAsia="Times New Roman" w:hAnsi="Calibri" w:cs="Times New Roman"/>
        </w:rPr>
        <w:t>In the supplementary file, we included a short description and the results described here.</w:t>
      </w:r>
    </w:p>
    <w:p w14:paraId="2A01EF10" w14:textId="211D9CD0" w:rsidR="00A30F1E" w:rsidRPr="00206649" w:rsidRDefault="00A30F1E" w:rsidP="00A30F1E">
      <w:pPr>
        <w:jc w:val="both"/>
        <w:rPr>
          <w:rFonts w:ascii="Calibri" w:eastAsia="Times New Roman" w:hAnsi="Calibri" w:cs="Times New Roman"/>
          <w:sz w:val="22"/>
        </w:rPr>
      </w:pPr>
    </w:p>
    <w:p w14:paraId="0815989B" w14:textId="4EF59EA8" w:rsidR="00A30F1E" w:rsidRPr="00206649" w:rsidRDefault="00A30F1E" w:rsidP="00A30F1E">
      <w:pPr>
        <w:jc w:val="both"/>
        <w:rPr>
          <w:rFonts w:ascii="Calibri" w:eastAsia="Times New Roman" w:hAnsi="Calibri" w:cs="Times New Roman"/>
          <w:sz w:val="22"/>
        </w:rPr>
      </w:pPr>
    </w:p>
    <w:p w14:paraId="3FD46C45" w14:textId="77777777" w:rsidR="00A30F1E" w:rsidRPr="00A30F1E" w:rsidRDefault="00A30F1E" w:rsidP="00A30F1E">
      <w:pPr>
        <w:jc w:val="both"/>
        <w:rPr>
          <w:rFonts w:ascii="Calibri" w:eastAsia="Times New Roman" w:hAnsi="Calibri" w:cs="Times New Roman"/>
          <w:szCs w:val="21"/>
        </w:rPr>
      </w:pPr>
    </w:p>
    <w:p w14:paraId="73F3D906" w14:textId="77777777" w:rsidR="00F860E0" w:rsidRPr="00A30F1E" w:rsidRDefault="00F860E0" w:rsidP="00A30F1E">
      <w:pPr>
        <w:ind w:left="360"/>
        <w:jc w:val="both"/>
        <w:rPr>
          <w:rFonts w:ascii="Calibri" w:eastAsia="Times New Roman" w:hAnsi="Calibri" w:cs="Times New Roman"/>
          <w:szCs w:val="21"/>
        </w:rPr>
      </w:pPr>
    </w:p>
    <w:p w14:paraId="53C5CD08" w14:textId="77777777" w:rsidR="00111BEE" w:rsidRDefault="000E5E52" w:rsidP="00733702">
      <w:pPr>
        <w:jc w:val="both"/>
        <w:rPr>
          <w:rFonts w:ascii="Calibri" w:eastAsia="Times New Roman" w:hAnsi="Calibri" w:cs="Times New Roman"/>
          <w:sz w:val="22"/>
          <w:szCs w:val="21"/>
        </w:rPr>
      </w:pPr>
      <w:r>
        <w:rPr>
          <w:noProof/>
        </w:rPr>
        <w:lastRenderedPageBreak/>
        <mc:AlternateContent>
          <mc:Choice Requires="wps">
            <w:drawing>
              <wp:anchor distT="0" distB="0" distL="114300" distR="114300" simplePos="0" relativeHeight="251660288" behindDoc="1" locked="0" layoutInCell="1" allowOverlap="1" wp14:anchorId="6FE6CBEB" wp14:editId="2544F745">
                <wp:simplePos x="0" y="0"/>
                <wp:positionH relativeFrom="column">
                  <wp:posOffset>0</wp:posOffset>
                </wp:positionH>
                <wp:positionV relativeFrom="paragraph">
                  <wp:posOffset>-272269</wp:posOffset>
                </wp:positionV>
                <wp:extent cx="5943600" cy="635"/>
                <wp:effectExtent l="0" t="0" r="0" b="18415"/>
                <wp:wrapTight wrapText="bothSides">
                  <wp:wrapPolygon edited="0">
                    <wp:start x="0" y="0"/>
                    <wp:lineTo x="0" y="0"/>
                    <wp:lineTo x="21531" y="0"/>
                    <wp:lineTo x="2153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CC9F9E6" w14:textId="5C42E760" w:rsidR="000E5E52" w:rsidRPr="0074720C" w:rsidRDefault="000E5E52" w:rsidP="000E5E52">
                            <w:pPr>
                              <w:pStyle w:val="Caption"/>
                              <w:jc w:val="center"/>
                              <w:rPr>
                                <w:noProof/>
                                <w:sz w:val="24"/>
                              </w:rPr>
                            </w:pPr>
                            <w:r w:rsidRPr="000E5E52">
                              <w:rPr>
                                <w:rFonts w:ascii="Calibri" w:eastAsia="Times New Roman" w:hAnsi="Calibri" w:cs="Times New Roman"/>
                                <w:b w:val="0"/>
                                <w:bCs w:val="0"/>
                                <w:color w:val="auto"/>
                                <w:sz w:val="22"/>
                                <w:szCs w:val="21"/>
                                <w:lang w:val="en-GB"/>
                              </w:rPr>
                              <w:t xml:space="preserve">Figure </w:t>
                            </w:r>
                            <w:r w:rsidRPr="000E5E52">
                              <w:rPr>
                                <w:rFonts w:ascii="Calibri" w:eastAsia="Times New Roman" w:hAnsi="Calibri" w:cs="Times New Roman"/>
                                <w:b w:val="0"/>
                                <w:bCs w:val="0"/>
                                <w:color w:val="auto"/>
                                <w:sz w:val="22"/>
                                <w:szCs w:val="21"/>
                                <w:lang w:val="en-GB"/>
                              </w:rPr>
                              <w:fldChar w:fldCharType="begin"/>
                            </w:r>
                            <w:r w:rsidRPr="000E5E52">
                              <w:rPr>
                                <w:rFonts w:ascii="Calibri" w:eastAsia="Times New Roman" w:hAnsi="Calibri" w:cs="Times New Roman"/>
                                <w:b w:val="0"/>
                                <w:bCs w:val="0"/>
                                <w:color w:val="auto"/>
                                <w:sz w:val="22"/>
                                <w:szCs w:val="21"/>
                                <w:lang w:val="en-GB"/>
                              </w:rPr>
                              <w:instrText xml:space="preserve"> SEQ Figure \* ARABIC </w:instrText>
                            </w:r>
                            <w:r w:rsidRPr="000E5E52">
                              <w:rPr>
                                <w:rFonts w:ascii="Calibri" w:eastAsia="Times New Roman" w:hAnsi="Calibri" w:cs="Times New Roman"/>
                                <w:b w:val="0"/>
                                <w:bCs w:val="0"/>
                                <w:color w:val="auto"/>
                                <w:sz w:val="22"/>
                                <w:szCs w:val="21"/>
                                <w:lang w:val="en-GB"/>
                              </w:rPr>
                              <w:fldChar w:fldCharType="separate"/>
                            </w:r>
                            <w:r w:rsidRPr="000E5E52">
                              <w:rPr>
                                <w:rFonts w:ascii="Calibri" w:eastAsia="Times New Roman" w:hAnsi="Calibri" w:cs="Times New Roman"/>
                                <w:b w:val="0"/>
                                <w:bCs w:val="0"/>
                                <w:color w:val="auto"/>
                                <w:sz w:val="22"/>
                                <w:szCs w:val="21"/>
                                <w:lang w:val="en-GB"/>
                              </w:rPr>
                              <w:t>1</w:t>
                            </w:r>
                            <w:r w:rsidRPr="000E5E52">
                              <w:rPr>
                                <w:rFonts w:ascii="Calibri" w:eastAsia="Times New Roman" w:hAnsi="Calibri" w:cs="Times New Roman"/>
                                <w:b w:val="0"/>
                                <w:bCs w:val="0"/>
                                <w:color w:val="auto"/>
                                <w:sz w:val="22"/>
                                <w:szCs w:val="21"/>
                                <w:lang w:val="en-GB"/>
                              </w:rPr>
                              <w:fldChar w:fldCharType="end"/>
                            </w:r>
                            <w:r w:rsidRPr="000E5E52">
                              <w:rPr>
                                <w:rFonts w:ascii="Calibri" w:eastAsia="Times New Roman" w:hAnsi="Calibri" w:cs="Times New Roman"/>
                                <w:b w:val="0"/>
                                <w:bCs w:val="0"/>
                                <w:color w:val="auto"/>
                                <w:sz w:val="22"/>
                                <w:szCs w:val="21"/>
                                <w:lang w:val="en-GB"/>
                              </w:rPr>
                              <w:t xml:space="preserve"> Contribution of suicide to gap with benchmark survival by age-group for males.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E6CBEB" id="_x0000_t202" coordsize="21600,21600" o:spt="202" path="m,l,21600r21600,l21600,xe">
                <v:stroke joinstyle="miter"/>
                <v:path gradientshapeok="t" o:connecttype="rect"/>
              </v:shapetype>
              <v:shape id="Text Box 2" o:spid="_x0000_s1026" type="#_x0000_t202" style="position:absolute;left:0;text-align:left;margin-left:0;margin-top:-21.45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" stroked="f">
                <v:textbox style="mso-fit-shape-to-text:t" inset="0,0,0,0">
                  <w:txbxContent>
                    <w:p w14:paraId="1CC9F9E6" w14:textId="5C42E760" w:rsidR="000E5E52" w:rsidRPr="0074720C" w:rsidRDefault="000E5E52" w:rsidP="000E5E52">
                      <w:pPr>
                        <w:pStyle w:val="Caption"/>
                        <w:jc w:val="center"/>
                        <w:rPr>
                          <w:noProof/>
                          <w:sz w:val="24"/>
                        </w:rPr>
                      </w:pPr>
                      <w:r w:rsidRPr="000E5E52">
                        <w:rPr>
                          <w:rFonts w:ascii="Calibri" w:eastAsia="Times New Roman" w:hAnsi="Calibri" w:cs="Times New Roman"/>
                          <w:b w:val="0"/>
                          <w:bCs w:val="0"/>
                          <w:color w:val="auto"/>
                          <w:sz w:val="22"/>
                          <w:szCs w:val="21"/>
                          <w:lang w:val="en-GB"/>
                        </w:rPr>
                        <w:t xml:space="preserve">Figure </w:t>
                      </w:r>
                      <w:r w:rsidRPr="000E5E52">
                        <w:rPr>
                          <w:rFonts w:ascii="Calibri" w:eastAsia="Times New Roman" w:hAnsi="Calibri" w:cs="Times New Roman"/>
                          <w:b w:val="0"/>
                          <w:bCs w:val="0"/>
                          <w:color w:val="auto"/>
                          <w:sz w:val="22"/>
                          <w:szCs w:val="21"/>
                          <w:lang w:val="en-GB"/>
                        </w:rPr>
                        <w:fldChar w:fldCharType="begin"/>
                      </w:r>
                      <w:r w:rsidRPr="000E5E52">
                        <w:rPr>
                          <w:rFonts w:ascii="Calibri" w:eastAsia="Times New Roman" w:hAnsi="Calibri" w:cs="Times New Roman"/>
                          <w:b w:val="0"/>
                          <w:bCs w:val="0"/>
                          <w:color w:val="auto"/>
                          <w:sz w:val="22"/>
                          <w:szCs w:val="21"/>
                          <w:lang w:val="en-GB"/>
                        </w:rPr>
                        <w:instrText xml:space="preserve"> SEQ Figure \* ARABIC </w:instrText>
                      </w:r>
                      <w:r w:rsidRPr="000E5E52">
                        <w:rPr>
                          <w:rFonts w:ascii="Calibri" w:eastAsia="Times New Roman" w:hAnsi="Calibri" w:cs="Times New Roman"/>
                          <w:b w:val="0"/>
                          <w:bCs w:val="0"/>
                          <w:color w:val="auto"/>
                          <w:sz w:val="22"/>
                          <w:szCs w:val="21"/>
                          <w:lang w:val="en-GB"/>
                        </w:rPr>
                        <w:fldChar w:fldCharType="separate"/>
                      </w:r>
                      <w:r w:rsidRPr="000E5E52">
                        <w:rPr>
                          <w:rFonts w:ascii="Calibri" w:eastAsia="Times New Roman" w:hAnsi="Calibri" w:cs="Times New Roman"/>
                          <w:b w:val="0"/>
                          <w:bCs w:val="0"/>
                          <w:color w:val="auto"/>
                          <w:sz w:val="22"/>
                          <w:szCs w:val="21"/>
                          <w:lang w:val="en-GB"/>
                        </w:rPr>
                        <w:t>1</w:t>
                      </w:r>
                      <w:r w:rsidRPr="000E5E52">
                        <w:rPr>
                          <w:rFonts w:ascii="Calibri" w:eastAsia="Times New Roman" w:hAnsi="Calibri" w:cs="Times New Roman"/>
                          <w:b w:val="0"/>
                          <w:bCs w:val="0"/>
                          <w:color w:val="auto"/>
                          <w:sz w:val="22"/>
                          <w:szCs w:val="21"/>
                          <w:lang w:val="en-GB"/>
                        </w:rPr>
                        <w:fldChar w:fldCharType="end"/>
                      </w:r>
                      <w:r w:rsidRPr="000E5E52">
                        <w:rPr>
                          <w:rFonts w:ascii="Calibri" w:eastAsia="Times New Roman" w:hAnsi="Calibri" w:cs="Times New Roman"/>
                          <w:b w:val="0"/>
                          <w:bCs w:val="0"/>
                          <w:color w:val="auto"/>
                          <w:sz w:val="22"/>
                          <w:szCs w:val="21"/>
                          <w:lang w:val="en-GB"/>
                        </w:rPr>
                        <w:t xml:space="preserve"> Contribution of suicide to gap with benchmark survival by age-group for males.</w:t>
                      </w:r>
                    </w:p>
                  </w:txbxContent>
                </v:textbox>
                <w10:wrap type="tight"/>
              </v:shape>
            </w:pict>
          </mc:Fallback>
        </mc:AlternateContent>
      </w:r>
      <w:r>
        <w:rPr>
          <w:noProof/>
        </w:rPr>
        <w:drawing>
          <wp:anchor distT="0" distB="0" distL="114300" distR="114300" simplePos="0" relativeHeight="251658240" behindDoc="1" locked="0" layoutInCell="1" allowOverlap="1" wp14:anchorId="3E888461" wp14:editId="62EB30DA">
            <wp:simplePos x="0" y="0"/>
            <wp:positionH relativeFrom="column">
              <wp:posOffset>0</wp:posOffset>
            </wp:positionH>
            <wp:positionV relativeFrom="paragraph">
              <wp:posOffset>0</wp:posOffset>
            </wp:positionV>
            <wp:extent cx="5943600" cy="5227320"/>
            <wp:effectExtent l="0" t="0" r="0" b="0"/>
            <wp:wrapTight wrapText="bothSides">
              <wp:wrapPolygon edited="0">
                <wp:start x="0" y="0"/>
                <wp:lineTo x="0" y="21490"/>
                <wp:lineTo x="21531" y="2149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27320"/>
                    </a:xfrm>
                    <a:prstGeom prst="rect">
                      <a:avLst/>
                    </a:prstGeom>
                  </pic:spPr>
                </pic:pic>
              </a:graphicData>
            </a:graphic>
            <wp14:sizeRelH relativeFrom="page">
              <wp14:pctWidth>0</wp14:pctWidth>
            </wp14:sizeRelH>
            <wp14:sizeRelV relativeFrom="page">
              <wp14:pctHeight>0</wp14:pctHeight>
            </wp14:sizeRelV>
          </wp:anchor>
        </w:drawing>
      </w:r>
    </w:p>
    <w:p w14:paraId="4828713F" w14:textId="77777777" w:rsidR="00111BEE" w:rsidRDefault="00111BEE" w:rsidP="00733702">
      <w:pPr>
        <w:jc w:val="both"/>
        <w:rPr>
          <w:rFonts w:ascii="Calibri" w:eastAsia="Times New Roman" w:hAnsi="Calibri" w:cs="Times New Roman"/>
          <w:sz w:val="22"/>
          <w:szCs w:val="21"/>
        </w:rPr>
      </w:pPr>
    </w:p>
    <w:p w14:paraId="3F604F74" w14:textId="4F3D190D" w:rsidR="009978F2" w:rsidRDefault="00111BEE" w:rsidP="00CB3AF7">
      <w:pPr>
        <w:rPr>
          <w:rFonts w:ascii="Calibri" w:eastAsia="Times New Roman" w:hAnsi="Calibri" w:cs="Times New Roman"/>
          <w:sz w:val="22"/>
          <w:szCs w:val="21"/>
        </w:rPr>
      </w:pPr>
      <w:r>
        <w:rPr>
          <w:rFonts w:ascii="Calibri" w:eastAsia="Times New Roman" w:hAnsi="Calibri"/>
          <w:sz w:val="22"/>
          <w:szCs w:val="21"/>
        </w:rPr>
        <w:fldChar w:fldCharType="begin"/>
      </w:r>
      <w:r>
        <w:rPr>
          <w:rFonts w:ascii="Calibri" w:eastAsia="Times New Roman" w:hAnsi="Calibri"/>
          <w:sz w:val="22"/>
          <w:szCs w:val="21"/>
        </w:rPr>
        <w:instrText xml:space="preserve"> ADDIN EN.REFLIST </w:instrText>
      </w:r>
      <w:r>
        <w:rPr>
          <w:rFonts w:ascii="Calibri" w:eastAsia="Times New Roman" w:hAnsi="Calibri"/>
          <w:sz w:val="22"/>
          <w:szCs w:val="21"/>
        </w:rPr>
        <w:fldChar w:fldCharType="end"/>
      </w:r>
    </w:p>
    <w:sectPr w:rsidR="009978F2" w:rsidSect="00BD3FF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8D619" w14:textId="77777777" w:rsidR="00341683" w:rsidRDefault="00341683" w:rsidP="00111E2D">
      <w:r>
        <w:separator/>
      </w:r>
    </w:p>
  </w:endnote>
  <w:endnote w:type="continuationSeparator" w:id="0">
    <w:p w14:paraId="5E986938" w14:textId="77777777" w:rsidR="00341683" w:rsidRDefault="00341683" w:rsidP="001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637326"/>
      <w:docPartObj>
        <w:docPartGallery w:val="Page Numbers (Bottom of Page)"/>
        <w:docPartUnique/>
      </w:docPartObj>
    </w:sdtPr>
    <w:sdtEndPr>
      <w:rPr>
        <w:noProof/>
      </w:rPr>
    </w:sdtEndPr>
    <w:sdtContent>
      <w:p w14:paraId="7250C661" w14:textId="0472AE03" w:rsidR="00FD693E" w:rsidRDefault="00FD693E">
        <w:pPr>
          <w:pStyle w:val="Footer"/>
          <w:jc w:val="right"/>
        </w:pPr>
        <w:r>
          <w:fldChar w:fldCharType="begin"/>
        </w:r>
        <w:r>
          <w:instrText xml:space="preserve"> PAGE   \* MERGEFORMAT </w:instrText>
        </w:r>
        <w:r>
          <w:fldChar w:fldCharType="separate"/>
        </w:r>
        <w:r w:rsidR="00E830DA">
          <w:rPr>
            <w:noProof/>
          </w:rPr>
          <w:t>1</w:t>
        </w:r>
        <w:r>
          <w:rPr>
            <w:noProof/>
          </w:rPr>
          <w:fldChar w:fldCharType="end"/>
        </w:r>
      </w:p>
    </w:sdtContent>
  </w:sdt>
  <w:p w14:paraId="1FD77DBD" w14:textId="77777777" w:rsidR="00FD693E" w:rsidRDefault="00FD6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5B654" w14:textId="77777777" w:rsidR="00341683" w:rsidRDefault="00341683" w:rsidP="00111E2D">
      <w:r>
        <w:separator/>
      </w:r>
    </w:p>
  </w:footnote>
  <w:footnote w:type="continuationSeparator" w:id="0">
    <w:p w14:paraId="05621F8A" w14:textId="77777777" w:rsidR="00341683" w:rsidRDefault="00341683" w:rsidP="00111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E20CA4"/>
    <w:multiLevelType w:val="hybridMultilevel"/>
    <w:tmpl w:val="B332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70A37"/>
    <w:multiLevelType w:val="hybridMultilevel"/>
    <w:tmpl w:val="D852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6016C"/>
    <w:multiLevelType w:val="hybridMultilevel"/>
    <w:tmpl w:val="EF346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D2601"/>
    <w:multiLevelType w:val="hybridMultilevel"/>
    <w:tmpl w:val="4C94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54ED6"/>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C5502"/>
    <w:multiLevelType w:val="hybridMultilevel"/>
    <w:tmpl w:val="DE002E84"/>
    <w:lvl w:ilvl="0" w:tplc="E33869D6">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A6857"/>
    <w:multiLevelType w:val="hybridMultilevel"/>
    <w:tmpl w:val="7A5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D0422"/>
    <w:multiLevelType w:val="hybridMultilevel"/>
    <w:tmpl w:val="E0BE5F1E"/>
    <w:lvl w:ilvl="0" w:tplc="68CE4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F80E35"/>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994BDC"/>
    <w:multiLevelType w:val="hybridMultilevel"/>
    <w:tmpl w:val="44E6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7"/>
  </w:num>
  <w:num w:numId="5">
    <w:abstractNumId w:val="9"/>
  </w:num>
  <w:num w:numId="6">
    <w:abstractNumId w:val="5"/>
  </w:num>
  <w:num w:numId="7">
    <w:abstractNumId w:val="1"/>
  </w:num>
  <w:num w:numId="8">
    <w:abstractNumId w:val="10"/>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rptdvw2z50v6eazt65rd5ztfwzpewt2at9&quot;&gt;BMJ_REF&lt;record-ids&gt;&lt;item&gt;14&lt;/item&gt;&lt;/record-ids&gt;&lt;/item&gt;&lt;/Libraries&gt;"/>
  </w:docVars>
  <w:rsids>
    <w:rsidRoot w:val="00012759"/>
    <w:rsid w:val="00000839"/>
    <w:rsid w:val="0000216D"/>
    <w:rsid w:val="00003AD7"/>
    <w:rsid w:val="00010A79"/>
    <w:rsid w:val="00011C47"/>
    <w:rsid w:val="00012759"/>
    <w:rsid w:val="000139CC"/>
    <w:rsid w:val="00020304"/>
    <w:rsid w:val="000212D5"/>
    <w:rsid w:val="000250FC"/>
    <w:rsid w:val="00031891"/>
    <w:rsid w:val="000326DE"/>
    <w:rsid w:val="00032E21"/>
    <w:rsid w:val="00033919"/>
    <w:rsid w:val="00033A2E"/>
    <w:rsid w:val="00034CD9"/>
    <w:rsid w:val="000352B2"/>
    <w:rsid w:val="00035F84"/>
    <w:rsid w:val="00036FA8"/>
    <w:rsid w:val="000378EE"/>
    <w:rsid w:val="00040AC9"/>
    <w:rsid w:val="0004157E"/>
    <w:rsid w:val="0004277E"/>
    <w:rsid w:val="0004327F"/>
    <w:rsid w:val="000448BE"/>
    <w:rsid w:val="00044A3C"/>
    <w:rsid w:val="00046D5C"/>
    <w:rsid w:val="00050BE2"/>
    <w:rsid w:val="00051B1F"/>
    <w:rsid w:val="00052FBE"/>
    <w:rsid w:val="00054324"/>
    <w:rsid w:val="00054DD6"/>
    <w:rsid w:val="0005683F"/>
    <w:rsid w:val="00056C50"/>
    <w:rsid w:val="00057817"/>
    <w:rsid w:val="000662E2"/>
    <w:rsid w:val="000728D0"/>
    <w:rsid w:val="00073C55"/>
    <w:rsid w:val="00076165"/>
    <w:rsid w:val="00084FDF"/>
    <w:rsid w:val="00086932"/>
    <w:rsid w:val="00087166"/>
    <w:rsid w:val="000913A9"/>
    <w:rsid w:val="00094A34"/>
    <w:rsid w:val="00095E10"/>
    <w:rsid w:val="000A0030"/>
    <w:rsid w:val="000A4540"/>
    <w:rsid w:val="000A4BF1"/>
    <w:rsid w:val="000B09BB"/>
    <w:rsid w:val="000B09DB"/>
    <w:rsid w:val="000B1195"/>
    <w:rsid w:val="000B124A"/>
    <w:rsid w:val="000B3837"/>
    <w:rsid w:val="000B52B7"/>
    <w:rsid w:val="000C48B4"/>
    <w:rsid w:val="000C5953"/>
    <w:rsid w:val="000C7AC4"/>
    <w:rsid w:val="000D2831"/>
    <w:rsid w:val="000E0909"/>
    <w:rsid w:val="000E1A4C"/>
    <w:rsid w:val="000E38CD"/>
    <w:rsid w:val="000E4DC3"/>
    <w:rsid w:val="000E5CC6"/>
    <w:rsid w:val="000E5E52"/>
    <w:rsid w:val="000E622E"/>
    <w:rsid w:val="000F0BE9"/>
    <w:rsid w:val="000F1BD4"/>
    <w:rsid w:val="000F1CDD"/>
    <w:rsid w:val="000F3040"/>
    <w:rsid w:val="000F3999"/>
    <w:rsid w:val="000F3D91"/>
    <w:rsid w:val="000F482F"/>
    <w:rsid w:val="0010022C"/>
    <w:rsid w:val="00101B2C"/>
    <w:rsid w:val="00103DA3"/>
    <w:rsid w:val="00105B5E"/>
    <w:rsid w:val="00107161"/>
    <w:rsid w:val="00107767"/>
    <w:rsid w:val="00111BEE"/>
    <w:rsid w:val="00111E2D"/>
    <w:rsid w:val="00112EBD"/>
    <w:rsid w:val="001137B8"/>
    <w:rsid w:val="00114AA2"/>
    <w:rsid w:val="001170B6"/>
    <w:rsid w:val="00122D6F"/>
    <w:rsid w:val="00125A2E"/>
    <w:rsid w:val="00125AD4"/>
    <w:rsid w:val="0013085F"/>
    <w:rsid w:val="001312FA"/>
    <w:rsid w:val="00132232"/>
    <w:rsid w:val="00136050"/>
    <w:rsid w:val="00136163"/>
    <w:rsid w:val="00136B62"/>
    <w:rsid w:val="00142AD4"/>
    <w:rsid w:val="00145283"/>
    <w:rsid w:val="00151A59"/>
    <w:rsid w:val="001522A2"/>
    <w:rsid w:val="00154EFB"/>
    <w:rsid w:val="00156358"/>
    <w:rsid w:val="00156786"/>
    <w:rsid w:val="00157EC9"/>
    <w:rsid w:val="001656D7"/>
    <w:rsid w:val="001664D0"/>
    <w:rsid w:val="001760C1"/>
    <w:rsid w:val="00180597"/>
    <w:rsid w:val="0018093F"/>
    <w:rsid w:val="00187043"/>
    <w:rsid w:val="00190709"/>
    <w:rsid w:val="0019176D"/>
    <w:rsid w:val="0019334B"/>
    <w:rsid w:val="0019693D"/>
    <w:rsid w:val="001A1F1B"/>
    <w:rsid w:val="001A2B25"/>
    <w:rsid w:val="001A37FE"/>
    <w:rsid w:val="001A460F"/>
    <w:rsid w:val="001A7EC9"/>
    <w:rsid w:val="001B0E8B"/>
    <w:rsid w:val="001B0E96"/>
    <w:rsid w:val="001B1004"/>
    <w:rsid w:val="001B1416"/>
    <w:rsid w:val="001B1DF2"/>
    <w:rsid w:val="001B23C3"/>
    <w:rsid w:val="001B244B"/>
    <w:rsid w:val="001B349A"/>
    <w:rsid w:val="001B6CF8"/>
    <w:rsid w:val="001C343E"/>
    <w:rsid w:val="001C6BD4"/>
    <w:rsid w:val="001D00C7"/>
    <w:rsid w:val="001D075A"/>
    <w:rsid w:val="001D38C3"/>
    <w:rsid w:val="001D762D"/>
    <w:rsid w:val="001E4D5C"/>
    <w:rsid w:val="001E5F1D"/>
    <w:rsid w:val="001E62FD"/>
    <w:rsid w:val="001F142D"/>
    <w:rsid w:val="001F1887"/>
    <w:rsid w:val="001F79E5"/>
    <w:rsid w:val="00200DA9"/>
    <w:rsid w:val="00201071"/>
    <w:rsid w:val="002010C1"/>
    <w:rsid w:val="0020160C"/>
    <w:rsid w:val="002043D9"/>
    <w:rsid w:val="00206649"/>
    <w:rsid w:val="002067DB"/>
    <w:rsid w:val="00207D6D"/>
    <w:rsid w:val="002137E8"/>
    <w:rsid w:val="00213A78"/>
    <w:rsid w:val="0022090B"/>
    <w:rsid w:val="00220B49"/>
    <w:rsid w:val="00222245"/>
    <w:rsid w:val="002222C5"/>
    <w:rsid w:val="002230B0"/>
    <w:rsid w:val="0022571B"/>
    <w:rsid w:val="00225E5A"/>
    <w:rsid w:val="00230A14"/>
    <w:rsid w:val="00231E1A"/>
    <w:rsid w:val="0023253A"/>
    <w:rsid w:val="00237BE4"/>
    <w:rsid w:val="00240EAE"/>
    <w:rsid w:val="00241FF9"/>
    <w:rsid w:val="00246314"/>
    <w:rsid w:val="002471C7"/>
    <w:rsid w:val="00247FD3"/>
    <w:rsid w:val="002514AC"/>
    <w:rsid w:val="00252356"/>
    <w:rsid w:val="0025242E"/>
    <w:rsid w:val="002562FA"/>
    <w:rsid w:val="00256790"/>
    <w:rsid w:val="00257A24"/>
    <w:rsid w:val="00262879"/>
    <w:rsid w:val="00262D78"/>
    <w:rsid w:val="00273CC9"/>
    <w:rsid w:val="00274343"/>
    <w:rsid w:val="00274DE3"/>
    <w:rsid w:val="00275012"/>
    <w:rsid w:val="00275324"/>
    <w:rsid w:val="00276231"/>
    <w:rsid w:val="00281CE3"/>
    <w:rsid w:val="00282378"/>
    <w:rsid w:val="002827EE"/>
    <w:rsid w:val="00282A2C"/>
    <w:rsid w:val="00283409"/>
    <w:rsid w:val="00284F19"/>
    <w:rsid w:val="00286A4D"/>
    <w:rsid w:val="00295AE2"/>
    <w:rsid w:val="00297A2C"/>
    <w:rsid w:val="002A25CF"/>
    <w:rsid w:val="002A6470"/>
    <w:rsid w:val="002A6643"/>
    <w:rsid w:val="002A7ED9"/>
    <w:rsid w:val="002B11C7"/>
    <w:rsid w:val="002B2056"/>
    <w:rsid w:val="002B2BAA"/>
    <w:rsid w:val="002B4381"/>
    <w:rsid w:val="002B56AB"/>
    <w:rsid w:val="002C20A7"/>
    <w:rsid w:val="002C333F"/>
    <w:rsid w:val="002C3AF4"/>
    <w:rsid w:val="002C6D6F"/>
    <w:rsid w:val="002C6DDA"/>
    <w:rsid w:val="002C6F23"/>
    <w:rsid w:val="002D22EE"/>
    <w:rsid w:val="002D6753"/>
    <w:rsid w:val="002D6BF9"/>
    <w:rsid w:val="002D7A5B"/>
    <w:rsid w:val="002E203F"/>
    <w:rsid w:val="002E65F0"/>
    <w:rsid w:val="002E691D"/>
    <w:rsid w:val="002E6C64"/>
    <w:rsid w:val="002F1889"/>
    <w:rsid w:val="002F1B60"/>
    <w:rsid w:val="002F36B5"/>
    <w:rsid w:val="002F3A8E"/>
    <w:rsid w:val="002F674F"/>
    <w:rsid w:val="002F743F"/>
    <w:rsid w:val="00302F6D"/>
    <w:rsid w:val="00313F3F"/>
    <w:rsid w:val="00314027"/>
    <w:rsid w:val="0031445F"/>
    <w:rsid w:val="00315ADC"/>
    <w:rsid w:val="00316FCE"/>
    <w:rsid w:val="00320978"/>
    <w:rsid w:val="0032147D"/>
    <w:rsid w:val="0032214D"/>
    <w:rsid w:val="003244F4"/>
    <w:rsid w:val="003256DE"/>
    <w:rsid w:val="00326457"/>
    <w:rsid w:val="003276E2"/>
    <w:rsid w:val="00332447"/>
    <w:rsid w:val="00335498"/>
    <w:rsid w:val="00335F4A"/>
    <w:rsid w:val="00336286"/>
    <w:rsid w:val="003405DE"/>
    <w:rsid w:val="003413DE"/>
    <w:rsid w:val="00341683"/>
    <w:rsid w:val="00341C58"/>
    <w:rsid w:val="00342CA1"/>
    <w:rsid w:val="00344170"/>
    <w:rsid w:val="00351A93"/>
    <w:rsid w:val="0035254A"/>
    <w:rsid w:val="0035340E"/>
    <w:rsid w:val="003539EE"/>
    <w:rsid w:val="00356719"/>
    <w:rsid w:val="00360ACE"/>
    <w:rsid w:val="00362B69"/>
    <w:rsid w:val="0036306C"/>
    <w:rsid w:val="003668E6"/>
    <w:rsid w:val="00367539"/>
    <w:rsid w:val="00367546"/>
    <w:rsid w:val="00371BF6"/>
    <w:rsid w:val="00373794"/>
    <w:rsid w:val="003755B0"/>
    <w:rsid w:val="00376A00"/>
    <w:rsid w:val="00382300"/>
    <w:rsid w:val="003826E5"/>
    <w:rsid w:val="00383475"/>
    <w:rsid w:val="00384ACE"/>
    <w:rsid w:val="00387A58"/>
    <w:rsid w:val="00390FD7"/>
    <w:rsid w:val="00392BF2"/>
    <w:rsid w:val="00392CED"/>
    <w:rsid w:val="00393E25"/>
    <w:rsid w:val="0039750F"/>
    <w:rsid w:val="00397B9A"/>
    <w:rsid w:val="003A445F"/>
    <w:rsid w:val="003A684F"/>
    <w:rsid w:val="003A7DD7"/>
    <w:rsid w:val="003B13ED"/>
    <w:rsid w:val="003B63F2"/>
    <w:rsid w:val="003C1312"/>
    <w:rsid w:val="003C32E0"/>
    <w:rsid w:val="003C4037"/>
    <w:rsid w:val="003C461F"/>
    <w:rsid w:val="003C566A"/>
    <w:rsid w:val="003C7E1E"/>
    <w:rsid w:val="003D141E"/>
    <w:rsid w:val="003D1DAB"/>
    <w:rsid w:val="003D4BC2"/>
    <w:rsid w:val="003D5E2F"/>
    <w:rsid w:val="003E0792"/>
    <w:rsid w:val="003F0262"/>
    <w:rsid w:val="003F1760"/>
    <w:rsid w:val="003F2E29"/>
    <w:rsid w:val="003F3399"/>
    <w:rsid w:val="003F6508"/>
    <w:rsid w:val="003F69AC"/>
    <w:rsid w:val="004014B5"/>
    <w:rsid w:val="004030FD"/>
    <w:rsid w:val="00404C49"/>
    <w:rsid w:val="0040556D"/>
    <w:rsid w:val="00405FDA"/>
    <w:rsid w:val="00423766"/>
    <w:rsid w:val="00424EAB"/>
    <w:rsid w:val="00425B13"/>
    <w:rsid w:val="00432A5D"/>
    <w:rsid w:val="0043350D"/>
    <w:rsid w:val="00433F40"/>
    <w:rsid w:val="004359E6"/>
    <w:rsid w:val="0044264F"/>
    <w:rsid w:val="00442C2A"/>
    <w:rsid w:val="00443D53"/>
    <w:rsid w:val="0044730B"/>
    <w:rsid w:val="0045118A"/>
    <w:rsid w:val="00452E05"/>
    <w:rsid w:val="00453053"/>
    <w:rsid w:val="00453E47"/>
    <w:rsid w:val="00463763"/>
    <w:rsid w:val="004641A8"/>
    <w:rsid w:val="004660E6"/>
    <w:rsid w:val="00466637"/>
    <w:rsid w:val="00467608"/>
    <w:rsid w:val="00471201"/>
    <w:rsid w:val="004712B6"/>
    <w:rsid w:val="0047499B"/>
    <w:rsid w:val="0047635A"/>
    <w:rsid w:val="00482126"/>
    <w:rsid w:val="00482BF1"/>
    <w:rsid w:val="00483D92"/>
    <w:rsid w:val="004841DF"/>
    <w:rsid w:val="00486CC5"/>
    <w:rsid w:val="00493777"/>
    <w:rsid w:val="00494FFF"/>
    <w:rsid w:val="004971B4"/>
    <w:rsid w:val="00497205"/>
    <w:rsid w:val="004A3893"/>
    <w:rsid w:val="004A7EA8"/>
    <w:rsid w:val="004B0A50"/>
    <w:rsid w:val="004B13C7"/>
    <w:rsid w:val="004B3248"/>
    <w:rsid w:val="004B3D23"/>
    <w:rsid w:val="004B50C8"/>
    <w:rsid w:val="004C25F7"/>
    <w:rsid w:val="004C5C15"/>
    <w:rsid w:val="004D05B7"/>
    <w:rsid w:val="004D2A10"/>
    <w:rsid w:val="004D4184"/>
    <w:rsid w:val="004D71BA"/>
    <w:rsid w:val="004D7A8A"/>
    <w:rsid w:val="004E0DD1"/>
    <w:rsid w:val="004E1410"/>
    <w:rsid w:val="004E3309"/>
    <w:rsid w:val="004E3D11"/>
    <w:rsid w:val="004E5491"/>
    <w:rsid w:val="004F345F"/>
    <w:rsid w:val="004F3C4E"/>
    <w:rsid w:val="005127AD"/>
    <w:rsid w:val="00512EE4"/>
    <w:rsid w:val="00513258"/>
    <w:rsid w:val="0051350D"/>
    <w:rsid w:val="00513915"/>
    <w:rsid w:val="00513A1B"/>
    <w:rsid w:val="00514186"/>
    <w:rsid w:val="0051598C"/>
    <w:rsid w:val="00521F34"/>
    <w:rsid w:val="00530F2C"/>
    <w:rsid w:val="0053412B"/>
    <w:rsid w:val="005346FA"/>
    <w:rsid w:val="0053754D"/>
    <w:rsid w:val="00542006"/>
    <w:rsid w:val="0054788E"/>
    <w:rsid w:val="005506CB"/>
    <w:rsid w:val="005537C3"/>
    <w:rsid w:val="00553F00"/>
    <w:rsid w:val="005606AC"/>
    <w:rsid w:val="00562EB5"/>
    <w:rsid w:val="00565FE0"/>
    <w:rsid w:val="005660F8"/>
    <w:rsid w:val="0057022D"/>
    <w:rsid w:val="0057185F"/>
    <w:rsid w:val="00582250"/>
    <w:rsid w:val="005825D4"/>
    <w:rsid w:val="00583C0A"/>
    <w:rsid w:val="00586ECB"/>
    <w:rsid w:val="0058704A"/>
    <w:rsid w:val="005930AD"/>
    <w:rsid w:val="005943A1"/>
    <w:rsid w:val="00594C00"/>
    <w:rsid w:val="005959D8"/>
    <w:rsid w:val="00597B92"/>
    <w:rsid w:val="005A00A8"/>
    <w:rsid w:val="005A2211"/>
    <w:rsid w:val="005A4D21"/>
    <w:rsid w:val="005A5C67"/>
    <w:rsid w:val="005A7EAF"/>
    <w:rsid w:val="005B19C7"/>
    <w:rsid w:val="005B1D74"/>
    <w:rsid w:val="005B647C"/>
    <w:rsid w:val="005B7582"/>
    <w:rsid w:val="005B7DE7"/>
    <w:rsid w:val="005C1E07"/>
    <w:rsid w:val="005C4F15"/>
    <w:rsid w:val="005D1388"/>
    <w:rsid w:val="005D24E0"/>
    <w:rsid w:val="005D2898"/>
    <w:rsid w:val="005D4160"/>
    <w:rsid w:val="005E6B81"/>
    <w:rsid w:val="005F2437"/>
    <w:rsid w:val="005F3B12"/>
    <w:rsid w:val="005F50FB"/>
    <w:rsid w:val="005F5EA7"/>
    <w:rsid w:val="005F6A12"/>
    <w:rsid w:val="005F7FFD"/>
    <w:rsid w:val="006001F1"/>
    <w:rsid w:val="00601943"/>
    <w:rsid w:val="00602F01"/>
    <w:rsid w:val="00604E27"/>
    <w:rsid w:val="0060724F"/>
    <w:rsid w:val="00612340"/>
    <w:rsid w:val="006205B0"/>
    <w:rsid w:val="00621165"/>
    <w:rsid w:val="00622313"/>
    <w:rsid w:val="006254AA"/>
    <w:rsid w:val="00630C47"/>
    <w:rsid w:val="0063262B"/>
    <w:rsid w:val="00635107"/>
    <w:rsid w:val="006351F2"/>
    <w:rsid w:val="00641A6E"/>
    <w:rsid w:val="00644C74"/>
    <w:rsid w:val="0064676F"/>
    <w:rsid w:val="0064685C"/>
    <w:rsid w:val="006476E3"/>
    <w:rsid w:val="00653B4A"/>
    <w:rsid w:val="00655753"/>
    <w:rsid w:val="006557A5"/>
    <w:rsid w:val="006577E7"/>
    <w:rsid w:val="00670BBA"/>
    <w:rsid w:val="006717FB"/>
    <w:rsid w:val="00672231"/>
    <w:rsid w:val="00674EC3"/>
    <w:rsid w:val="006759F7"/>
    <w:rsid w:val="00677FA2"/>
    <w:rsid w:val="00681D8C"/>
    <w:rsid w:val="006845DB"/>
    <w:rsid w:val="00690DD0"/>
    <w:rsid w:val="00693DB7"/>
    <w:rsid w:val="006958C4"/>
    <w:rsid w:val="00695A68"/>
    <w:rsid w:val="006A100D"/>
    <w:rsid w:val="006A715D"/>
    <w:rsid w:val="006B028C"/>
    <w:rsid w:val="006B0774"/>
    <w:rsid w:val="006B10D2"/>
    <w:rsid w:val="006B1B78"/>
    <w:rsid w:val="006B26F0"/>
    <w:rsid w:val="006B29CC"/>
    <w:rsid w:val="006B6AE6"/>
    <w:rsid w:val="006C06DB"/>
    <w:rsid w:val="006C08CB"/>
    <w:rsid w:val="006C3BE9"/>
    <w:rsid w:val="006C429B"/>
    <w:rsid w:val="006C6B99"/>
    <w:rsid w:val="006D1AC0"/>
    <w:rsid w:val="006D1B46"/>
    <w:rsid w:val="006D2284"/>
    <w:rsid w:val="006D2F44"/>
    <w:rsid w:val="006D42BD"/>
    <w:rsid w:val="006D43BA"/>
    <w:rsid w:val="006D672E"/>
    <w:rsid w:val="006D7C1F"/>
    <w:rsid w:val="006E4616"/>
    <w:rsid w:val="006E7A37"/>
    <w:rsid w:val="006F07A0"/>
    <w:rsid w:val="006F1F66"/>
    <w:rsid w:val="006F71D8"/>
    <w:rsid w:val="006F738A"/>
    <w:rsid w:val="00703E13"/>
    <w:rsid w:val="00703FC9"/>
    <w:rsid w:val="007058E1"/>
    <w:rsid w:val="0070659B"/>
    <w:rsid w:val="007108B6"/>
    <w:rsid w:val="00711CE1"/>
    <w:rsid w:val="0071272B"/>
    <w:rsid w:val="007133E2"/>
    <w:rsid w:val="00714B0B"/>
    <w:rsid w:val="007157AD"/>
    <w:rsid w:val="007176F0"/>
    <w:rsid w:val="007224C2"/>
    <w:rsid w:val="00722998"/>
    <w:rsid w:val="0072373B"/>
    <w:rsid w:val="00726A04"/>
    <w:rsid w:val="007332AD"/>
    <w:rsid w:val="00733415"/>
    <w:rsid w:val="00733702"/>
    <w:rsid w:val="00735FD4"/>
    <w:rsid w:val="00737190"/>
    <w:rsid w:val="00737C05"/>
    <w:rsid w:val="007400D9"/>
    <w:rsid w:val="00740649"/>
    <w:rsid w:val="00740FFE"/>
    <w:rsid w:val="007413F3"/>
    <w:rsid w:val="0074201B"/>
    <w:rsid w:val="00750868"/>
    <w:rsid w:val="00750EED"/>
    <w:rsid w:val="00754C49"/>
    <w:rsid w:val="00754D29"/>
    <w:rsid w:val="0075576F"/>
    <w:rsid w:val="007646B4"/>
    <w:rsid w:val="007703E9"/>
    <w:rsid w:val="00772B3D"/>
    <w:rsid w:val="0077374E"/>
    <w:rsid w:val="007745F4"/>
    <w:rsid w:val="007750CE"/>
    <w:rsid w:val="00780E4C"/>
    <w:rsid w:val="00781DE5"/>
    <w:rsid w:val="00784E1B"/>
    <w:rsid w:val="0078559E"/>
    <w:rsid w:val="00787EE1"/>
    <w:rsid w:val="00790A78"/>
    <w:rsid w:val="00792E58"/>
    <w:rsid w:val="007932EE"/>
    <w:rsid w:val="00793312"/>
    <w:rsid w:val="007936C9"/>
    <w:rsid w:val="00794E06"/>
    <w:rsid w:val="007A205A"/>
    <w:rsid w:val="007A3790"/>
    <w:rsid w:val="007A5C8C"/>
    <w:rsid w:val="007B392A"/>
    <w:rsid w:val="007B3AF3"/>
    <w:rsid w:val="007B4E5E"/>
    <w:rsid w:val="007B55AD"/>
    <w:rsid w:val="007B6A50"/>
    <w:rsid w:val="007B6C6E"/>
    <w:rsid w:val="007C0AD4"/>
    <w:rsid w:val="007C2806"/>
    <w:rsid w:val="007D2FCA"/>
    <w:rsid w:val="007D4FB2"/>
    <w:rsid w:val="007D611C"/>
    <w:rsid w:val="007D7943"/>
    <w:rsid w:val="007E108B"/>
    <w:rsid w:val="007E13B7"/>
    <w:rsid w:val="007E4275"/>
    <w:rsid w:val="007E573E"/>
    <w:rsid w:val="007E580E"/>
    <w:rsid w:val="007E7040"/>
    <w:rsid w:val="007F2B15"/>
    <w:rsid w:val="007F40AE"/>
    <w:rsid w:val="007F6A72"/>
    <w:rsid w:val="00800EB0"/>
    <w:rsid w:val="0080320F"/>
    <w:rsid w:val="00803F49"/>
    <w:rsid w:val="00804104"/>
    <w:rsid w:val="0080434A"/>
    <w:rsid w:val="00807573"/>
    <w:rsid w:val="00807AB8"/>
    <w:rsid w:val="008117B3"/>
    <w:rsid w:val="008125EE"/>
    <w:rsid w:val="008125EF"/>
    <w:rsid w:val="0081282D"/>
    <w:rsid w:val="00815688"/>
    <w:rsid w:val="00815E58"/>
    <w:rsid w:val="00817F61"/>
    <w:rsid w:val="00822706"/>
    <w:rsid w:val="008230A4"/>
    <w:rsid w:val="00824D1B"/>
    <w:rsid w:val="00840D6B"/>
    <w:rsid w:val="00842B6D"/>
    <w:rsid w:val="00844C49"/>
    <w:rsid w:val="00847CAD"/>
    <w:rsid w:val="0085083D"/>
    <w:rsid w:val="008528A0"/>
    <w:rsid w:val="0085651B"/>
    <w:rsid w:val="008576D9"/>
    <w:rsid w:val="0085782A"/>
    <w:rsid w:val="00861FF9"/>
    <w:rsid w:val="00863CC0"/>
    <w:rsid w:val="008648C5"/>
    <w:rsid w:val="00864F44"/>
    <w:rsid w:val="00867D6B"/>
    <w:rsid w:val="00871BAA"/>
    <w:rsid w:val="00873FC0"/>
    <w:rsid w:val="00880086"/>
    <w:rsid w:val="00880E3A"/>
    <w:rsid w:val="0088332B"/>
    <w:rsid w:val="00884192"/>
    <w:rsid w:val="008859B4"/>
    <w:rsid w:val="00891E89"/>
    <w:rsid w:val="008922EA"/>
    <w:rsid w:val="008926BE"/>
    <w:rsid w:val="00892726"/>
    <w:rsid w:val="00893DB6"/>
    <w:rsid w:val="008945CF"/>
    <w:rsid w:val="00894CE8"/>
    <w:rsid w:val="008A02DB"/>
    <w:rsid w:val="008A0B25"/>
    <w:rsid w:val="008A3A71"/>
    <w:rsid w:val="008B0894"/>
    <w:rsid w:val="008B4FED"/>
    <w:rsid w:val="008B5374"/>
    <w:rsid w:val="008B73FF"/>
    <w:rsid w:val="008B74CF"/>
    <w:rsid w:val="008B7FCF"/>
    <w:rsid w:val="008C0DDF"/>
    <w:rsid w:val="008C153B"/>
    <w:rsid w:val="008C1A6D"/>
    <w:rsid w:val="008C3687"/>
    <w:rsid w:val="008C6146"/>
    <w:rsid w:val="008C66B0"/>
    <w:rsid w:val="008D0BB4"/>
    <w:rsid w:val="008D0E08"/>
    <w:rsid w:val="008D0E30"/>
    <w:rsid w:val="008D2903"/>
    <w:rsid w:val="008D31E8"/>
    <w:rsid w:val="008D528C"/>
    <w:rsid w:val="008E075C"/>
    <w:rsid w:val="008E077F"/>
    <w:rsid w:val="008E1A0B"/>
    <w:rsid w:val="008E653E"/>
    <w:rsid w:val="008F05CA"/>
    <w:rsid w:val="008F1988"/>
    <w:rsid w:val="008F577C"/>
    <w:rsid w:val="008F685E"/>
    <w:rsid w:val="008F75ED"/>
    <w:rsid w:val="009001BE"/>
    <w:rsid w:val="00901125"/>
    <w:rsid w:val="00901BB2"/>
    <w:rsid w:val="00901FBE"/>
    <w:rsid w:val="00911ABB"/>
    <w:rsid w:val="00911D8D"/>
    <w:rsid w:val="0091252E"/>
    <w:rsid w:val="009214E8"/>
    <w:rsid w:val="0092417F"/>
    <w:rsid w:val="00924AFA"/>
    <w:rsid w:val="00927265"/>
    <w:rsid w:val="00930747"/>
    <w:rsid w:val="00931BDE"/>
    <w:rsid w:val="00931BE6"/>
    <w:rsid w:val="00932041"/>
    <w:rsid w:val="00933E94"/>
    <w:rsid w:val="0093509C"/>
    <w:rsid w:val="00942229"/>
    <w:rsid w:val="00943ADC"/>
    <w:rsid w:val="00945A0A"/>
    <w:rsid w:val="0094643D"/>
    <w:rsid w:val="009515AD"/>
    <w:rsid w:val="009529E6"/>
    <w:rsid w:val="00955DBF"/>
    <w:rsid w:val="0095610F"/>
    <w:rsid w:val="00957A96"/>
    <w:rsid w:val="00957D97"/>
    <w:rsid w:val="00963BE4"/>
    <w:rsid w:val="00964D3B"/>
    <w:rsid w:val="00967F30"/>
    <w:rsid w:val="0097242A"/>
    <w:rsid w:val="009728EE"/>
    <w:rsid w:val="00972F0B"/>
    <w:rsid w:val="00975961"/>
    <w:rsid w:val="00976C25"/>
    <w:rsid w:val="00977E15"/>
    <w:rsid w:val="009815F0"/>
    <w:rsid w:val="00981CA2"/>
    <w:rsid w:val="00982A3C"/>
    <w:rsid w:val="00984BF1"/>
    <w:rsid w:val="009857AD"/>
    <w:rsid w:val="0098710D"/>
    <w:rsid w:val="0099100E"/>
    <w:rsid w:val="00992CFC"/>
    <w:rsid w:val="009954F4"/>
    <w:rsid w:val="00995A79"/>
    <w:rsid w:val="00996928"/>
    <w:rsid w:val="009978F2"/>
    <w:rsid w:val="009979FC"/>
    <w:rsid w:val="00997A12"/>
    <w:rsid w:val="00997E8C"/>
    <w:rsid w:val="009A55F0"/>
    <w:rsid w:val="009A712C"/>
    <w:rsid w:val="009B0608"/>
    <w:rsid w:val="009B32FD"/>
    <w:rsid w:val="009B4E26"/>
    <w:rsid w:val="009C4F06"/>
    <w:rsid w:val="009C5FEF"/>
    <w:rsid w:val="009C6366"/>
    <w:rsid w:val="009D02A2"/>
    <w:rsid w:val="009D5A9F"/>
    <w:rsid w:val="009E220F"/>
    <w:rsid w:val="009E337C"/>
    <w:rsid w:val="009E4357"/>
    <w:rsid w:val="009E50DB"/>
    <w:rsid w:val="009E5DFB"/>
    <w:rsid w:val="009F1C53"/>
    <w:rsid w:val="009F6742"/>
    <w:rsid w:val="009F7473"/>
    <w:rsid w:val="00A00DEB"/>
    <w:rsid w:val="00A033C4"/>
    <w:rsid w:val="00A10858"/>
    <w:rsid w:val="00A10979"/>
    <w:rsid w:val="00A10CD4"/>
    <w:rsid w:val="00A115C4"/>
    <w:rsid w:val="00A12678"/>
    <w:rsid w:val="00A1665B"/>
    <w:rsid w:val="00A16D08"/>
    <w:rsid w:val="00A21FDB"/>
    <w:rsid w:val="00A26D5E"/>
    <w:rsid w:val="00A27608"/>
    <w:rsid w:val="00A278D0"/>
    <w:rsid w:val="00A30F1E"/>
    <w:rsid w:val="00A33431"/>
    <w:rsid w:val="00A34D9F"/>
    <w:rsid w:val="00A34E31"/>
    <w:rsid w:val="00A369AA"/>
    <w:rsid w:val="00A36D6D"/>
    <w:rsid w:val="00A37C12"/>
    <w:rsid w:val="00A44C68"/>
    <w:rsid w:val="00A4606F"/>
    <w:rsid w:val="00A46076"/>
    <w:rsid w:val="00A47171"/>
    <w:rsid w:val="00A471FD"/>
    <w:rsid w:val="00A54AC7"/>
    <w:rsid w:val="00A55638"/>
    <w:rsid w:val="00A618AF"/>
    <w:rsid w:val="00A63EAE"/>
    <w:rsid w:val="00A641B7"/>
    <w:rsid w:val="00A64498"/>
    <w:rsid w:val="00A645AC"/>
    <w:rsid w:val="00A66CCC"/>
    <w:rsid w:val="00A73DAE"/>
    <w:rsid w:val="00A75D4E"/>
    <w:rsid w:val="00A76650"/>
    <w:rsid w:val="00A77739"/>
    <w:rsid w:val="00A84DBB"/>
    <w:rsid w:val="00A9305E"/>
    <w:rsid w:val="00A934A2"/>
    <w:rsid w:val="00A97029"/>
    <w:rsid w:val="00AA0177"/>
    <w:rsid w:val="00AA0D76"/>
    <w:rsid w:val="00AA2040"/>
    <w:rsid w:val="00AA5C09"/>
    <w:rsid w:val="00AB0EF4"/>
    <w:rsid w:val="00AB1D32"/>
    <w:rsid w:val="00AB3041"/>
    <w:rsid w:val="00AB53BD"/>
    <w:rsid w:val="00AB6679"/>
    <w:rsid w:val="00AC209E"/>
    <w:rsid w:val="00AC6114"/>
    <w:rsid w:val="00AD06DA"/>
    <w:rsid w:val="00AD0CA3"/>
    <w:rsid w:val="00AD0F06"/>
    <w:rsid w:val="00AD293F"/>
    <w:rsid w:val="00AD3456"/>
    <w:rsid w:val="00AD3FD7"/>
    <w:rsid w:val="00AE7FAE"/>
    <w:rsid w:val="00AF05F4"/>
    <w:rsid w:val="00AF10E8"/>
    <w:rsid w:val="00AF189B"/>
    <w:rsid w:val="00AF61AF"/>
    <w:rsid w:val="00AF6226"/>
    <w:rsid w:val="00AF6CC2"/>
    <w:rsid w:val="00B03834"/>
    <w:rsid w:val="00B03CD6"/>
    <w:rsid w:val="00B05F49"/>
    <w:rsid w:val="00B06BDA"/>
    <w:rsid w:val="00B07CB5"/>
    <w:rsid w:val="00B10706"/>
    <w:rsid w:val="00B154C1"/>
    <w:rsid w:val="00B20B9D"/>
    <w:rsid w:val="00B23690"/>
    <w:rsid w:val="00B2595A"/>
    <w:rsid w:val="00B27097"/>
    <w:rsid w:val="00B30398"/>
    <w:rsid w:val="00B31A3D"/>
    <w:rsid w:val="00B32578"/>
    <w:rsid w:val="00B3388D"/>
    <w:rsid w:val="00B341DA"/>
    <w:rsid w:val="00B34A02"/>
    <w:rsid w:val="00B34E79"/>
    <w:rsid w:val="00B40C0A"/>
    <w:rsid w:val="00B40E2C"/>
    <w:rsid w:val="00B4160E"/>
    <w:rsid w:val="00B4247F"/>
    <w:rsid w:val="00B44770"/>
    <w:rsid w:val="00B44F39"/>
    <w:rsid w:val="00B462CA"/>
    <w:rsid w:val="00B46FCA"/>
    <w:rsid w:val="00B47293"/>
    <w:rsid w:val="00B514E2"/>
    <w:rsid w:val="00B5210A"/>
    <w:rsid w:val="00B54E51"/>
    <w:rsid w:val="00B54E98"/>
    <w:rsid w:val="00B55478"/>
    <w:rsid w:val="00B557A1"/>
    <w:rsid w:val="00B560D1"/>
    <w:rsid w:val="00B5648F"/>
    <w:rsid w:val="00B575D7"/>
    <w:rsid w:val="00B617BD"/>
    <w:rsid w:val="00B6596F"/>
    <w:rsid w:val="00B66992"/>
    <w:rsid w:val="00B66AAD"/>
    <w:rsid w:val="00B82B1E"/>
    <w:rsid w:val="00B82DF6"/>
    <w:rsid w:val="00B85B7A"/>
    <w:rsid w:val="00B8687D"/>
    <w:rsid w:val="00B92185"/>
    <w:rsid w:val="00B932BB"/>
    <w:rsid w:val="00B938E8"/>
    <w:rsid w:val="00B93B69"/>
    <w:rsid w:val="00B93C45"/>
    <w:rsid w:val="00B95A80"/>
    <w:rsid w:val="00B95C0E"/>
    <w:rsid w:val="00BA145E"/>
    <w:rsid w:val="00BA7D6A"/>
    <w:rsid w:val="00BB2DC2"/>
    <w:rsid w:val="00BB5F16"/>
    <w:rsid w:val="00BC2C03"/>
    <w:rsid w:val="00BC5077"/>
    <w:rsid w:val="00BC6EAC"/>
    <w:rsid w:val="00BC7E72"/>
    <w:rsid w:val="00BD13B8"/>
    <w:rsid w:val="00BD2346"/>
    <w:rsid w:val="00BD3349"/>
    <w:rsid w:val="00BD3FF6"/>
    <w:rsid w:val="00BD56DF"/>
    <w:rsid w:val="00BD7B91"/>
    <w:rsid w:val="00BE25E6"/>
    <w:rsid w:val="00BE30F7"/>
    <w:rsid w:val="00BE36DB"/>
    <w:rsid w:val="00BE7606"/>
    <w:rsid w:val="00BE7DD3"/>
    <w:rsid w:val="00BF2BF8"/>
    <w:rsid w:val="00BF44B6"/>
    <w:rsid w:val="00BF63FA"/>
    <w:rsid w:val="00C00CA1"/>
    <w:rsid w:val="00C03807"/>
    <w:rsid w:val="00C0713A"/>
    <w:rsid w:val="00C10B72"/>
    <w:rsid w:val="00C1166D"/>
    <w:rsid w:val="00C116AD"/>
    <w:rsid w:val="00C13ABF"/>
    <w:rsid w:val="00C144FB"/>
    <w:rsid w:val="00C16129"/>
    <w:rsid w:val="00C22E5F"/>
    <w:rsid w:val="00C231BD"/>
    <w:rsid w:val="00C23C8D"/>
    <w:rsid w:val="00C24238"/>
    <w:rsid w:val="00C2458F"/>
    <w:rsid w:val="00C258B6"/>
    <w:rsid w:val="00C278C7"/>
    <w:rsid w:val="00C312E0"/>
    <w:rsid w:val="00C342E7"/>
    <w:rsid w:val="00C37D66"/>
    <w:rsid w:val="00C438AA"/>
    <w:rsid w:val="00C438DE"/>
    <w:rsid w:val="00C44EBA"/>
    <w:rsid w:val="00C46A93"/>
    <w:rsid w:val="00C477B5"/>
    <w:rsid w:val="00C5288F"/>
    <w:rsid w:val="00C556C2"/>
    <w:rsid w:val="00C55847"/>
    <w:rsid w:val="00C56541"/>
    <w:rsid w:val="00C56B9B"/>
    <w:rsid w:val="00C60FB3"/>
    <w:rsid w:val="00C6214F"/>
    <w:rsid w:val="00C630C3"/>
    <w:rsid w:val="00C659CF"/>
    <w:rsid w:val="00C704E7"/>
    <w:rsid w:val="00C74FF6"/>
    <w:rsid w:val="00C75100"/>
    <w:rsid w:val="00C83017"/>
    <w:rsid w:val="00C86997"/>
    <w:rsid w:val="00C943E0"/>
    <w:rsid w:val="00C9481C"/>
    <w:rsid w:val="00C94A27"/>
    <w:rsid w:val="00C94DB1"/>
    <w:rsid w:val="00CA1366"/>
    <w:rsid w:val="00CA22A3"/>
    <w:rsid w:val="00CA23F5"/>
    <w:rsid w:val="00CA4F98"/>
    <w:rsid w:val="00CA72A6"/>
    <w:rsid w:val="00CB0221"/>
    <w:rsid w:val="00CB0F59"/>
    <w:rsid w:val="00CB3AF7"/>
    <w:rsid w:val="00CB457A"/>
    <w:rsid w:val="00CB6D03"/>
    <w:rsid w:val="00CB7727"/>
    <w:rsid w:val="00CC3617"/>
    <w:rsid w:val="00CC4F68"/>
    <w:rsid w:val="00CC5E86"/>
    <w:rsid w:val="00CC6DDC"/>
    <w:rsid w:val="00CD043A"/>
    <w:rsid w:val="00CD04E9"/>
    <w:rsid w:val="00CD2BCA"/>
    <w:rsid w:val="00CD6D39"/>
    <w:rsid w:val="00CE0A2F"/>
    <w:rsid w:val="00CE0A94"/>
    <w:rsid w:val="00CF09A5"/>
    <w:rsid w:val="00CF394C"/>
    <w:rsid w:val="00CF58C3"/>
    <w:rsid w:val="00D023E6"/>
    <w:rsid w:val="00D04395"/>
    <w:rsid w:val="00D06432"/>
    <w:rsid w:val="00D06E95"/>
    <w:rsid w:val="00D0700D"/>
    <w:rsid w:val="00D103E7"/>
    <w:rsid w:val="00D10AED"/>
    <w:rsid w:val="00D15FDC"/>
    <w:rsid w:val="00D1763B"/>
    <w:rsid w:val="00D178E8"/>
    <w:rsid w:val="00D229F9"/>
    <w:rsid w:val="00D25BD8"/>
    <w:rsid w:val="00D30D95"/>
    <w:rsid w:val="00D322A1"/>
    <w:rsid w:val="00D34239"/>
    <w:rsid w:val="00D3475A"/>
    <w:rsid w:val="00D34ADF"/>
    <w:rsid w:val="00D34DC8"/>
    <w:rsid w:val="00D35D2B"/>
    <w:rsid w:val="00D379F2"/>
    <w:rsid w:val="00D4009E"/>
    <w:rsid w:val="00D4099B"/>
    <w:rsid w:val="00D445A8"/>
    <w:rsid w:val="00D556EC"/>
    <w:rsid w:val="00D559A3"/>
    <w:rsid w:val="00D55B0E"/>
    <w:rsid w:val="00D6487D"/>
    <w:rsid w:val="00D660E7"/>
    <w:rsid w:val="00D66905"/>
    <w:rsid w:val="00D7094D"/>
    <w:rsid w:val="00D70F84"/>
    <w:rsid w:val="00D7305E"/>
    <w:rsid w:val="00D733E9"/>
    <w:rsid w:val="00D74E9C"/>
    <w:rsid w:val="00D75204"/>
    <w:rsid w:val="00D752C7"/>
    <w:rsid w:val="00D756AE"/>
    <w:rsid w:val="00D76CE6"/>
    <w:rsid w:val="00D81AC5"/>
    <w:rsid w:val="00D85BEC"/>
    <w:rsid w:val="00D9096A"/>
    <w:rsid w:val="00D934AB"/>
    <w:rsid w:val="00D93F2F"/>
    <w:rsid w:val="00D94D87"/>
    <w:rsid w:val="00D971D9"/>
    <w:rsid w:val="00D97A60"/>
    <w:rsid w:val="00DA03B8"/>
    <w:rsid w:val="00DA07C9"/>
    <w:rsid w:val="00DA1CC7"/>
    <w:rsid w:val="00DA23FC"/>
    <w:rsid w:val="00DA483B"/>
    <w:rsid w:val="00DA4F4D"/>
    <w:rsid w:val="00DA627C"/>
    <w:rsid w:val="00DB1D66"/>
    <w:rsid w:val="00DB1FB1"/>
    <w:rsid w:val="00DB239E"/>
    <w:rsid w:val="00DB3F2F"/>
    <w:rsid w:val="00DB41CE"/>
    <w:rsid w:val="00DB4D5E"/>
    <w:rsid w:val="00DB5A7B"/>
    <w:rsid w:val="00DB5C79"/>
    <w:rsid w:val="00DC0CBE"/>
    <w:rsid w:val="00DC0EC5"/>
    <w:rsid w:val="00DC12A8"/>
    <w:rsid w:val="00DC23C5"/>
    <w:rsid w:val="00DC378F"/>
    <w:rsid w:val="00DC467C"/>
    <w:rsid w:val="00DC71D5"/>
    <w:rsid w:val="00DD3EDC"/>
    <w:rsid w:val="00DD51B8"/>
    <w:rsid w:val="00DD6E9E"/>
    <w:rsid w:val="00DD7440"/>
    <w:rsid w:val="00DE135B"/>
    <w:rsid w:val="00DE448D"/>
    <w:rsid w:val="00DE712A"/>
    <w:rsid w:val="00DF151C"/>
    <w:rsid w:val="00DF2FEE"/>
    <w:rsid w:val="00E009D7"/>
    <w:rsid w:val="00E11594"/>
    <w:rsid w:val="00E21DCA"/>
    <w:rsid w:val="00E23071"/>
    <w:rsid w:val="00E2428D"/>
    <w:rsid w:val="00E248AE"/>
    <w:rsid w:val="00E25744"/>
    <w:rsid w:val="00E271AA"/>
    <w:rsid w:val="00E271C4"/>
    <w:rsid w:val="00E274BD"/>
    <w:rsid w:val="00E3029F"/>
    <w:rsid w:val="00E363A2"/>
    <w:rsid w:val="00E44E39"/>
    <w:rsid w:val="00E45D94"/>
    <w:rsid w:val="00E4758E"/>
    <w:rsid w:val="00E47CCB"/>
    <w:rsid w:val="00E5567B"/>
    <w:rsid w:val="00E61FF8"/>
    <w:rsid w:val="00E64E9F"/>
    <w:rsid w:val="00E71D3B"/>
    <w:rsid w:val="00E755DB"/>
    <w:rsid w:val="00E75EF0"/>
    <w:rsid w:val="00E774A8"/>
    <w:rsid w:val="00E812AC"/>
    <w:rsid w:val="00E81404"/>
    <w:rsid w:val="00E830DA"/>
    <w:rsid w:val="00E84619"/>
    <w:rsid w:val="00E85281"/>
    <w:rsid w:val="00E90A67"/>
    <w:rsid w:val="00E94A2A"/>
    <w:rsid w:val="00E95EE7"/>
    <w:rsid w:val="00E96A62"/>
    <w:rsid w:val="00E96E13"/>
    <w:rsid w:val="00E9728E"/>
    <w:rsid w:val="00E9729B"/>
    <w:rsid w:val="00E972A1"/>
    <w:rsid w:val="00EA1305"/>
    <w:rsid w:val="00EA5877"/>
    <w:rsid w:val="00EA5BF4"/>
    <w:rsid w:val="00EB003E"/>
    <w:rsid w:val="00EB2127"/>
    <w:rsid w:val="00EB2E28"/>
    <w:rsid w:val="00EB6968"/>
    <w:rsid w:val="00EC01E9"/>
    <w:rsid w:val="00EC46EA"/>
    <w:rsid w:val="00EC5E57"/>
    <w:rsid w:val="00EC604D"/>
    <w:rsid w:val="00ED1FE1"/>
    <w:rsid w:val="00ED20E2"/>
    <w:rsid w:val="00ED392B"/>
    <w:rsid w:val="00ED492D"/>
    <w:rsid w:val="00EE00DE"/>
    <w:rsid w:val="00EE017D"/>
    <w:rsid w:val="00EE6952"/>
    <w:rsid w:val="00EE6C3C"/>
    <w:rsid w:val="00EF001F"/>
    <w:rsid w:val="00EF146F"/>
    <w:rsid w:val="00EF1FFE"/>
    <w:rsid w:val="00EF3130"/>
    <w:rsid w:val="00EF7FEA"/>
    <w:rsid w:val="00F0014B"/>
    <w:rsid w:val="00F1216E"/>
    <w:rsid w:val="00F121AB"/>
    <w:rsid w:val="00F16598"/>
    <w:rsid w:val="00F21A6D"/>
    <w:rsid w:val="00F21D19"/>
    <w:rsid w:val="00F2224F"/>
    <w:rsid w:val="00F230AC"/>
    <w:rsid w:val="00F27036"/>
    <w:rsid w:val="00F308DA"/>
    <w:rsid w:val="00F30A06"/>
    <w:rsid w:val="00F43A47"/>
    <w:rsid w:val="00F44372"/>
    <w:rsid w:val="00F4467F"/>
    <w:rsid w:val="00F44E3D"/>
    <w:rsid w:val="00F457D6"/>
    <w:rsid w:val="00F52BFE"/>
    <w:rsid w:val="00F53D38"/>
    <w:rsid w:val="00F55F4F"/>
    <w:rsid w:val="00F56A25"/>
    <w:rsid w:val="00F60E3D"/>
    <w:rsid w:val="00F6138D"/>
    <w:rsid w:val="00F61E9B"/>
    <w:rsid w:val="00F62C1B"/>
    <w:rsid w:val="00F636B9"/>
    <w:rsid w:val="00F74AC4"/>
    <w:rsid w:val="00F76D5E"/>
    <w:rsid w:val="00F860E0"/>
    <w:rsid w:val="00F8644E"/>
    <w:rsid w:val="00F8728A"/>
    <w:rsid w:val="00F87FFB"/>
    <w:rsid w:val="00F91BCA"/>
    <w:rsid w:val="00F93762"/>
    <w:rsid w:val="00F96192"/>
    <w:rsid w:val="00F97085"/>
    <w:rsid w:val="00FA142F"/>
    <w:rsid w:val="00FA4641"/>
    <w:rsid w:val="00FB01DB"/>
    <w:rsid w:val="00FB272B"/>
    <w:rsid w:val="00FB3218"/>
    <w:rsid w:val="00FB6EC9"/>
    <w:rsid w:val="00FC1E53"/>
    <w:rsid w:val="00FC62D0"/>
    <w:rsid w:val="00FD693E"/>
    <w:rsid w:val="00FD73F1"/>
    <w:rsid w:val="00FD7CB7"/>
    <w:rsid w:val="00FE01D7"/>
    <w:rsid w:val="00FE247D"/>
    <w:rsid w:val="00FE281E"/>
    <w:rsid w:val="00FE29A6"/>
    <w:rsid w:val="00FE3BE5"/>
    <w:rsid w:val="00FE4258"/>
    <w:rsid w:val="00FE5C1A"/>
    <w:rsid w:val="00FE686E"/>
    <w:rsid w:val="00FF05DF"/>
    <w:rsid w:val="00FF0615"/>
    <w:rsid w:val="00FF0AB7"/>
    <w:rsid w:val="00FF2B8F"/>
    <w:rsid w:val="00FF304E"/>
    <w:rsid w:val="00FF39BB"/>
    <w:rsid w:val="00FF658A"/>
    <w:rsid w:val="00FF6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E4427"/>
  <w15:docId w15:val="{0182EB96-5B78-428A-8BE8-51283FA0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E2D"/>
    <w:pPr>
      <w:tabs>
        <w:tab w:val="center" w:pos="4680"/>
        <w:tab w:val="right" w:pos="9360"/>
      </w:tabs>
    </w:pPr>
  </w:style>
  <w:style w:type="character" w:customStyle="1" w:styleId="HeaderChar">
    <w:name w:val="Header Char"/>
    <w:basedOn w:val="DefaultParagraphFont"/>
    <w:link w:val="Header"/>
    <w:uiPriority w:val="99"/>
    <w:rsid w:val="00111E2D"/>
  </w:style>
  <w:style w:type="paragraph" w:styleId="Footer">
    <w:name w:val="footer"/>
    <w:basedOn w:val="Normal"/>
    <w:link w:val="FooterChar"/>
    <w:uiPriority w:val="99"/>
    <w:unhideWhenUsed/>
    <w:rsid w:val="00111E2D"/>
    <w:pPr>
      <w:tabs>
        <w:tab w:val="center" w:pos="4680"/>
        <w:tab w:val="right" w:pos="9360"/>
      </w:tabs>
    </w:pPr>
  </w:style>
  <w:style w:type="character" w:customStyle="1" w:styleId="FooterChar">
    <w:name w:val="Footer Char"/>
    <w:basedOn w:val="DefaultParagraphFont"/>
    <w:link w:val="Footer"/>
    <w:uiPriority w:val="99"/>
    <w:rsid w:val="00111E2D"/>
  </w:style>
  <w:style w:type="paragraph" w:styleId="ListParagraph">
    <w:name w:val="List Paragraph"/>
    <w:basedOn w:val="Normal"/>
    <w:uiPriority w:val="34"/>
    <w:qFormat/>
    <w:rsid w:val="006958C4"/>
    <w:pPr>
      <w:spacing w:after="200" w:line="276" w:lineRule="auto"/>
      <w:ind w:left="720"/>
      <w:contextualSpacing/>
    </w:pPr>
    <w:rPr>
      <w:rFonts w:asciiTheme="minorHAnsi" w:hAnsiTheme="minorHAnsi"/>
      <w:sz w:val="22"/>
      <w:lang w:val="en-GB"/>
    </w:rPr>
  </w:style>
  <w:style w:type="paragraph" w:styleId="BalloonText">
    <w:name w:val="Balloon Text"/>
    <w:basedOn w:val="Normal"/>
    <w:link w:val="BalloonTextChar"/>
    <w:uiPriority w:val="99"/>
    <w:semiHidden/>
    <w:unhideWhenUsed/>
    <w:rsid w:val="00E77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A8"/>
    <w:rPr>
      <w:rFonts w:ascii="Segoe UI" w:hAnsi="Segoe UI" w:cs="Segoe UI"/>
      <w:sz w:val="18"/>
      <w:szCs w:val="18"/>
    </w:rPr>
  </w:style>
  <w:style w:type="character" w:styleId="CommentReference">
    <w:name w:val="annotation reference"/>
    <w:basedOn w:val="DefaultParagraphFont"/>
    <w:uiPriority w:val="99"/>
    <w:semiHidden/>
    <w:unhideWhenUsed/>
    <w:rsid w:val="00630C47"/>
    <w:rPr>
      <w:sz w:val="16"/>
      <w:szCs w:val="16"/>
    </w:rPr>
  </w:style>
  <w:style w:type="paragraph" w:styleId="CommentText">
    <w:name w:val="annotation text"/>
    <w:basedOn w:val="Normal"/>
    <w:link w:val="CommentTextChar"/>
    <w:uiPriority w:val="99"/>
    <w:unhideWhenUsed/>
    <w:rsid w:val="00630C47"/>
    <w:rPr>
      <w:sz w:val="20"/>
      <w:szCs w:val="20"/>
    </w:rPr>
  </w:style>
  <w:style w:type="character" w:customStyle="1" w:styleId="CommentTextChar">
    <w:name w:val="Comment Text Char"/>
    <w:basedOn w:val="DefaultParagraphFont"/>
    <w:link w:val="CommentText"/>
    <w:uiPriority w:val="99"/>
    <w:rsid w:val="00630C47"/>
    <w:rPr>
      <w:sz w:val="20"/>
      <w:szCs w:val="20"/>
    </w:rPr>
  </w:style>
  <w:style w:type="paragraph" w:styleId="CommentSubject">
    <w:name w:val="annotation subject"/>
    <w:basedOn w:val="CommentText"/>
    <w:next w:val="CommentText"/>
    <w:link w:val="CommentSubjectChar"/>
    <w:uiPriority w:val="99"/>
    <w:semiHidden/>
    <w:unhideWhenUsed/>
    <w:rsid w:val="00630C47"/>
    <w:rPr>
      <w:b/>
      <w:bCs/>
    </w:rPr>
  </w:style>
  <w:style w:type="character" w:customStyle="1" w:styleId="CommentSubjectChar">
    <w:name w:val="Comment Subject Char"/>
    <w:basedOn w:val="CommentTextChar"/>
    <w:link w:val="CommentSubject"/>
    <w:uiPriority w:val="99"/>
    <w:semiHidden/>
    <w:rsid w:val="00630C47"/>
    <w:rPr>
      <w:b/>
      <w:bCs/>
      <w:sz w:val="20"/>
      <w:szCs w:val="20"/>
    </w:rPr>
  </w:style>
  <w:style w:type="table" w:styleId="TableGrid">
    <w:name w:val="Table Grid"/>
    <w:basedOn w:val="TableNormal"/>
    <w:uiPriority w:val="59"/>
    <w:rsid w:val="00D7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094D"/>
    <w:pPr>
      <w:spacing w:after="200"/>
    </w:pPr>
    <w:rPr>
      <w:b/>
      <w:bCs/>
      <w:color w:val="4F81BD" w:themeColor="accent1"/>
      <w:sz w:val="18"/>
      <w:szCs w:val="18"/>
    </w:rPr>
  </w:style>
  <w:style w:type="character" w:styleId="Hyperlink">
    <w:name w:val="Hyperlink"/>
    <w:basedOn w:val="DefaultParagraphFont"/>
    <w:uiPriority w:val="99"/>
    <w:unhideWhenUsed/>
    <w:rsid w:val="00F56A25"/>
    <w:rPr>
      <w:color w:val="0000FF"/>
      <w:u w:val="single"/>
    </w:rPr>
  </w:style>
  <w:style w:type="character" w:styleId="FollowedHyperlink">
    <w:name w:val="FollowedHyperlink"/>
    <w:basedOn w:val="DefaultParagraphFont"/>
    <w:uiPriority w:val="99"/>
    <w:semiHidden/>
    <w:unhideWhenUsed/>
    <w:rsid w:val="00B46FCA"/>
    <w:rPr>
      <w:color w:val="800080" w:themeColor="followedHyperlink"/>
      <w:u w:val="single"/>
    </w:rPr>
  </w:style>
  <w:style w:type="paragraph" w:styleId="Revision">
    <w:name w:val="Revision"/>
    <w:hidden/>
    <w:uiPriority w:val="99"/>
    <w:semiHidden/>
    <w:rsid w:val="00DB1FB1"/>
  </w:style>
  <w:style w:type="paragraph" w:styleId="HTMLPreformatted">
    <w:name w:val="HTML Preformatted"/>
    <w:basedOn w:val="Normal"/>
    <w:link w:val="HTMLPreformattedChar"/>
    <w:uiPriority w:val="99"/>
    <w:semiHidden/>
    <w:unhideWhenUsed/>
    <w:rsid w:val="00A3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9AA"/>
    <w:rPr>
      <w:rFonts w:ascii="Courier New" w:eastAsia="Times New Roman" w:hAnsi="Courier New" w:cs="Courier New"/>
      <w:sz w:val="20"/>
      <w:szCs w:val="20"/>
    </w:rPr>
  </w:style>
  <w:style w:type="character" w:styleId="PlaceholderText">
    <w:name w:val="Placeholder Text"/>
    <w:basedOn w:val="DefaultParagraphFont"/>
    <w:uiPriority w:val="99"/>
    <w:semiHidden/>
    <w:rsid w:val="00A369AA"/>
    <w:rPr>
      <w:color w:val="808080"/>
    </w:rPr>
  </w:style>
  <w:style w:type="character" w:customStyle="1" w:styleId="Mention1">
    <w:name w:val="Mention1"/>
    <w:basedOn w:val="DefaultParagraphFont"/>
    <w:uiPriority w:val="99"/>
    <w:semiHidden/>
    <w:unhideWhenUsed/>
    <w:rsid w:val="00D445A8"/>
    <w:rPr>
      <w:color w:val="2B579A"/>
      <w:shd w:val="clear" w:color="auto" w:fill="E6E6E6"/>
    </w:rPr>
  </w:style>
  <w:style w:type="paragraph" w:styleId="NoSpacing">
    <w:name w:val="No Spacing"/>
    <w:uiPriority w:val="1"/>
    <w:qFormat/>
    <w:rsid w:val="00C86997"/>
  </w:style>
  <w:style w:type="character" w:customStyle="1" w:styleId="Mention2">
    <w:name w:val="Mention2"/>
    <w:basedOn w:val="DefaultParagraphFont"/>
    <w:uiPriority w:val="99"/>
    <w:semiHidden/>
    <w:unhideWhenUsed/>
    <w:rsid w:val="006D7C1F"/>
    <w:rPr>
      <w:color w:val="2B579A"/>
      <w:shd w:val="clear" w:color="auto" w:fill="E6E6E6"/>
    </w:rPr>
  </w:style>
  <w:style w:type="paragraph" w:styleId="PlainText">
    <w:name w:val="Plain Text"/>
    <w:basedOn w:val="Normal"/>
    <w:link w:val="PlainTextChar"/>
    <w:uiPriority w:val="99"/>
    <w:semiHidden/>
    <w:unhideWhenUsed/>
    <w:rsid w:val="006845DB"/>
    <w:rPr>
      <w:rFonts w:ascii="Calibri" w:eastAsia="Times New Roman" w:hAnsi="Calibri" w:cs="Times New Roman"/>
      <w:sz w:val="22"/>
      <w:szCs w:val="21"/>
    </w:rPr>
  </w:style>
  <w:style w:type="character" w:customStyle="1" w:styleId="PlainTextChar">
    <w:name w:val="Plain Text Char"/>
    <w:basedOn w:val="DefaultParagraphFont"/>
    <w:link w:val="PlainText"/>
    <w:uiPriority w:val="99"/>
    <w:semiHidden/>
    <w:rsid w:val="006845DB"/>
    <w:rPr>
      <w:rFonts w:ascii="Calibri" w:eastAsia="Times New Roman" w:hAnsi="Calibri" w:cs="Times New Roman"/>
      <w:sz w:val="22"/>
      <w:szCs w:val="21"/>
    </w:rPr>
  </w:style>
  <w:style w:type="paragraph" w:customStyle="1" w:styleId="EndNoteBibliography">
    <w:name w:val="EndNote Bibliography"/>
    <w:basedOn w:val="Normal"/>
    <w:link w:val="EndNoteBibliographyChar"/>
    <w:rsid w:val="00035F84"/>
    <w:rPr>
      <w:rFonts w:cs="Times New Roman"/>
      <w:noProof/>
    </w:rPr>
  </w:style>
  <w:style w:type="character" w:customStyle="1" w:styleId="EndNoteBibliographyChar">
    <w:name w:val="EndNote Bibliography Char"/>
    <w:basedOn w:val="DefaultParagraphFont"/>
    <w:link w:val="EndNoteBibliography"/>
    <w:rsid w:val="00035F84"/>
    <w:rPr>
      <w:rFonts w:cs="Times New Roman"/>
      <w:noProof/>
    </w:rPr>
  </w:style>
  <w:style w:type="character" w:customStyle="1" w:styleId="Mention3">
    <w:name w:val="Mention3"/>
    <w:basedOn w:val="DefaultParagraphFont"/>
    <w:uiPriority w:val="99"/>
    <w:semiHidden/>
    <w:unhideWhenUsed/>
    <w:rsid w:val="00136B62"/>
    <w:rPr>
      <w:color w:val="2B579A"/>
      <w:shd w:val="clear" w:color="auto" w:fill="E6E6E6"/>
    </w:rPr>
  </w:style>
  <w:style w:type="character" w:styleId="Mention">
    <w:name w:val="Mention"/>
    <w:basedOn w:val="DefaultParagraphFont"/>
    <w:uiPriority w:val="99"/>
    <w:semiHidden/>
    <w:unhideWhenUsed/>
    <w:rsid w:val="00911D8D"/>
    <w:rPr>
      <w:color w:val="2B579A"/>
      <w:shd w:val="clear" w:color="auto" w:fill="E6E6E6"/>
    </w:rPr>
  </w:style>
  <w:style w:type="paragraph" w:customStyle="1" w:styleId="EndNoteBibliographyTitle">
    <w:name w:val="EndNote Bibliography Title"/>
    <w:basedOn w:val="Normal"/>
    <w:link w:val="EndNoteBibliographyTitleChar"/>
    <w:rsid w:val="009978F2"/>
    <w:pPr>
      <w:jc w:val="center"/>
    </w:pPr>
    <w:rPr>
      <w:rFonts w:cs="Times New Roman"/>
      <w:noProof/>
    </w:rPr>
  </w:style>
  <w:style w:type="character" w:customStyle="1" w:styleId="EndNoteBibliographyTitleChar">
    <w:name w:val="EndNote Bibliography Title Char"/>
    <w:basedOn w:val="PlainTextChar"/>
    <w:link w:val="EndNoteBibliographyTitle"/>
    <w:rsid w:val="009978F2"/>
    <w:rPr>
      <w:rFonts w:ascii="Calibri" w:eastAsia="Times New Roman" w:hAnsi="Calibri" w:cs="Times New Roman"/>
      <w:noProof/>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302">
      <w:bodyDiv w:val="1"/>
      <w:marLeft w:val="0"/>
      <w:marRight w:val="0"/>
      <w:marTop w:val="0"/>
      <w:marBottom w:val="0"/>
      <w:divBdr>
        <w:top w:val="none" w:sz="0" w:space="0" w:color="auto"/>
        <w:left w:val="none" w:sz="0" w:space="0" w:color="auto"/>
        <w:bottom w:val="none" w:sz="0" w:space="0" w:color="auto"/>
        <w:right w:val="none" w:sz="0" w:space="0" w:color="auto"/>
      </w:divBdr>
      <w:divsChild>
        <w:div w:id="339280059">
          <w:marLeft w:val="0"/>
          <w:marRight w:val="0"/>
          <w:marTop w:val="0"/>
          <w:marBottom w:val="0"/>
          <w:divBdr>
            <w:top w:val="none" w:sz="0" w:space="0" w:color="auto"/>
            <w:left w:val="none" w:sz="0" w:space="0" w:color="auto"/>
            <w:bottom w:val="none" w:sz="0" w:space="0" w:color="auto"/>
            <w:right w:val="none" w:sz="0" w:space="0" w:color="auto"/>
          </w:divBdr>
          <w:divsChild>
            <w:div w:id="855311040">
              <w:marLeft w:val="0"/>
              <w:marRight w:val="0"/>
              <w:marTop w:val="0"/>
              <w:marBottom w:val="0"/>
              <w:divBdr>
                <w:top w:val="none" w:sz="0" w:space="0" w:color="auto"/>
                <w:left w:val="none" w:sz="0" w:space="0" w:color="auto"/>
                <w:bottom w:val="none" w:sz="0" w:space="0" w:color="auto"/>
                <w:right w:val="none" w:sz="0" w:space="0" w:color="auto"/>
              </w:divBdr>
              <w:divsChild>
                <w:div w:id="170216875">
                  <w:marLeft w:val="0"/>
                  <w:marRight w:val="0"/>
                  <w:marTop w:val="0"/>
                  <w:marBottom w:val="0"/>
                  <w:divBdr>
                    <w:top w:val="single" w:sz="6" w:space="0" w:color="CCCCCC"/>
                    <w:left w:val="single" w:sz="6" w:space="0" w:color="CCCCCC"/>
                    <w:bottom w:val="single" w:sz="6" w:space="0" w:color="CCCCCC"/>
                    <w:right w:val="single" w:sz="6" w:space="0" w:color="CCCCCC"/>
                  </w:divBdr>
                  <w:divsChild>
                    <w:div w:id="1979528579">
                      <w:marLeft w:val="0"/>
                      <w:marRight w:val="0"/>
                      <w:marTop w:val="0"/>
                      <w:marBottom w:val="0"/>
                      <w:divBdr>
                        <w:top w:val="none" w:sz="0" w:space="0" w:color="auto"/>
                        <w:left w:val="none" w:sz="0" w:space="0" w:color="auto"/>
                        <w:bottom w:val="none" w:sz="0" w:space="0" w:color="auto"/>
                        <w:right w:val="none" w:sz="0" w:space="0" w:color="auto"/>
                      </w:divBdr>
                      <w:divsChild>
                        <w:div w:id="463156421">
                          <w:marLeft w:val="0"/>
                          <w:marRight w:val="0"/>
                          <w:marTop w:val="0"/>
                          <w:marBottom w:val="0"/>
                          <w:divBdr>
                            <w:top w:val="none" w:sz="0" w:space="0" w:color="auto"/>
                            <w:left w:val="none" w:sz="0" w:space="0" w:color="auto"/>
                            <w:bottom w:val="none" w:sz="0" w:space="0" w:color="auto"/>
                            <w:right w:val="none" w:sz="0" w:space="0" w:color="auto"/>
                          </w:divBdr>
                          <w:divsChild>
                            <w:div w:id="258952685">
                              <w:marLeft w:val="0"/>
                              <w:marRight w:val="0"/>
                              <w:marTop w:val="0"/>
                              <w:marBottom w:val="0"/>
                              <w:divBdr>
                                <w:top w:val="none" w:sz="0" w:space="0" w:color="auto"/>
                                <w:left w:val="none" w:sz="0" w:space="0" w:color="auto"/>
                                <w:bottom w:val="none" w:sz="0" w:space="0" w:color="auto"/>
                                <w:right w:val="none" w:sz="0" w:space="0" w:color="auto"/>
                              </w:divBdr>
                              <w:divsChild>
                                <w:div w:id="1758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1644">
      <w:bodyDiv w:val="1"/>
      <w:marLeft w:val="0"/>
      <w:marRight w:val="0"/>
      <w:marTop w:val="0"/>
      <w:marBottom w:val="0"/>
      <w:divBdr>
        <w:top w:val="none" w:sz="0" w:space="0" w:color="auto"/>
        <w:left w:val="none" w:sz="0" w:space="0" w:color="auto"/>
        <w:bottom w:val="none" w:sz="0" w:space="0" w:color="auto"/>
        <w:right w:val="none" w:sz="0" w:space="0" w:color="auto"/>
      </w:divBdr>
    </w:div>
    <w:div w:id="132144080">
      <w:bodyDiv w:val="1"/>
      <w:marLeft w:val="0"/>
      <w:marRight w:val="0"/>
      <w:marTop w:val="0"/>
      <w:marBottom w:val="0"/>
      <w:divBdr>
        <w:top w:val="none" w:sz="0" w:space="0" w:color="auto"/>
        <w:left w:val="none" w:sz="0" w:space="0" w:color="auto"/>
        <w:bottom w:val="none" w:sz="0" w:space="0" w:color="auto"/>
        <w:right w:val="none" w:sz="0" w:space="0" w:color="auto"/>
      </w:divBdr>
    </w:div>
    <w:div w:id="155650039">
      <w:bodyDiv w:val="1"/>
      <w:marLeft w:val="0"/>
      <w:marRight w:val="0"/>
      <w:marTop w:val="0"/>
      <w:marBottom w:val="0"/>
      <w:divBdr>
        <w:top w:val="none" w:sz="0" w:space="0" w:color="auto"/>
        <w:left w:val="none" w:sz="0" w:space="0" w:color="auto"/>
        <w:bottom w:val="none" w:sz="0" w:space="0" w:color="auto"/>
        <w:right w:val="none" w:sz="0" w:space="0" w:color="auto"/>
      </w:divBdr>
      <w:divsChild>
        <w:div w:id="1525241372">
          <w:marLeft w:val="0"/>
          <w:marRight w:val="0"/>
          <w:marTop w:val="0"/>
          <w:marBottom w:val="0"/>
          <w:divBdr>
            <w:top w:val="none" w:sz="0" w:space="0" w:color="auto"/>
            <w:left w:val="none" w:sz="0" w:space="0" w:color="auto"/>
            <w:bottom w:val="none" w:sz="0" w:space="0" w:color="auto"/>
            <w:right w:val="none" w:sz="0" w:space="0" w:color="auto"/>
          </w:divBdr>
          <w:divsChild>
            <w:div w:id="1198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0008">
      <w:bodyDiv w:val="1"/>
      <w:marLeft w:val="0"/>
      <w:marRight w:val="0"/>
      <w:marTop w:val="0"/>
      <w:marBottom w:val="0"/>
      <w:divBdr>
        <w:top w:val="none" w:sz="0" w:space="0" w:color="auto"/>
        <w:left w:val="none" w:sz="0" w:space="0" w:color="auto"/>
        <w:bottom w:val="none" w:sz="0" w:space="0" w:color="auto"/>
        <w:right w:val="none" w:sz="0" w:space="0" w:color="auto"/>
      </w:divBdr>
      <w:divsChild>
        <w:div w:id="1557473667">
          <w:marLeft w:val="0"/>
          <w:marRight w:val="0"/>
          <w:marTop w:val="0"/>
          <w:marBottom w:val="0"/>
          <w:divBdr>
            <w:top w:val="none" w:sz="0" w:space="0" w:color="auto"/>
            <w:left w:val="none" w:sz="0" w:space="0" w:color="auto"/>
            <w:bottom w:val="none" w:sz="0" w:space="0" w:color="auto"/>
            <w:right w:val="none" w:sz="0" w:space="0" w:color="auto"/>
          </w:divBdr>
          <w:divsChild>
            <w:div w:id="377126323">
              <w:marLeft w:val="0"/>
              <w:marRight w:val="0"/>
              <w:marTop w:val="0"/>
              <w:marBottom w:val="0"/>
              <w:divBdr>
                <w:top w:val="none" w:sz="0" w:space="0" w:color="auto"/>
                <w:left w:val="none" w:sz="0" w:space="0" w:color="auto"/>
                <w:bottom w:val="none" w:sz="0" w:space="0" w:color="auto"/>
                <w:right w:val="none" w:sz="0" w:space="0" w:color="auto"/>
              </w:divBdr>
              <w:divsChild>
                <w:div w:id="1836022389">
                  <w:marLeft w:val="0"/>
                  <w:marRight w:val="0"/>
                  <w:marTop w:val="0"/>
                  <w:marBottom w:val="0"/>
                  <w:divBdr>
                    <w:top w:val="single" w:sz="6" w:space="0" w:color="CCCCCC"/>
                    <w:left w:val="single" w:sz="6" w:space="0" w:color="CCCCCC"/>
                    <w:bottom w:val="single" w:sz="6" w:space="0" w:color="CCCCCC"/>
                    <w:right w:val="single" w:sz="6" w:space="0" w:color="CCCCCC"/>
                  </w:divBdr>
                  <w:divsChild>
                    <w:div w:id="1505516867">
                      <w:marLeft w:val="0"/>
                      <w:marRight w:val="0"/>
                      <w:marTop w:val="0"/>
                      <w:marBottom w:val="0"/>
                      <w:divBdr>
                        <w:top w:val="none" w:sz="0" w:space="0" w:color="auto"/>
                        <w:left w:val="none" w:sz="0" w:space="0" w:color="auto"/>
                        <w:bottom w:val="none" w:sz="0" w:space="0" w:color="auto"/>
                        <w:right w:val="none" w:sz="0" w:space="0" w:color="auto"/>
                      </w:divBdr>
                      <w:divsChild>
                        <w:div w:id="401294927">
                          <w:marLeft w:val="0"/>
                          <w:marRight w:val="0"/>
                          <w:marTop w:val="0"/>
                          <w:marBottom w:val="0"/>
                          <w:divBdr>
                            <w:top w:val="none" w:sz="0" w:space="0" w:color="auto"/>
                            <w:left w:val="none" w:sz="0" w:space="0" w:color="auto"/>
                            <w:bottom w:val="none" w:sz="0" w:space="0" w:color="auto"/>
                            <w:right w:val="none" w:sz="0" w:space="0" w:color="auto"/>
                          </w:divBdr>
                          <w:divsChild>
                            <w:div w:id="19555526">
                              <w:marLeft w:val="0"/>
                              <w:marRight w:val="0"/>
                              <w:marTop w:val="0"/>
                              <w:marBottom w:val="0"/>
                              <w:divBdr>
                                <w:top w:val="none" w:sz="0" w:space="0" w:color="auto"/>
                                <w:left w:val="none" w:sz="0" w:space="0" w:color="auto"/>
                                <w:bottom w:val="none" w:sz="0" w:space="0" w:color="auto"/>
                                <w:right w:val="none" w:sz="0" w:space="0" w:color="auto"/>
                              </w:divBdr>
                              <w:divsChild>
                                <w:div w:id="705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109972">
      <w:bodyDiv w:val="1"/>
      <w:marLeft w:val="0"/>
      <w:marRight w:val="0"/>
      <w:marTop w:val="0"/>
      <w:marBottom w:val="0"/>
      <w:divBdr>
        <w:top w:val="none" w:sz="0" w:space="0" w:color="auto"/>
        <w:left w:val="none" w:sz="0" w:space="0" w:color="auto"/>
        <w:bottom w:val="none" w:sz="0" w:space="0" w:color="auto"/>
        <w:right w:val="none" w:sz="0" w:space="0" w:color="auto"/>
      </w:divBdr>
    </w:div>
    <w:div w:id="351614196">
      <w:bodyDiv w:val="1"/>
      <w:marLeft w:val="0"/>
      <w:marRight w:val="0"/>
      <w:marTop w:val="0"/>
      <w:marBottom w:val="0"/>
      <w:divBdr>
        <w:top w:val="none" w:sz="0" w:space="0" w:color="auto"/>
        <w:left w:val="none" w:sz="0" w:space="0" w:color="auto"/>
        <w:bottom w:val="none" w:sz="0" w:space="0" w:color="auto"/>
        <w:right w:val="none" w:sz="0" w:space="0" w:color="auto"/>
      </w:divBdr>
      <w:divsChild>
        <w:div w:id="409888078">
          <w:marLeft w:val="0"/>
          <w:marRight w:val="0"/>
          <w:marTop w:val="0"/>
          <w:marBottom w:val="0"/>
          <w:divBdr>
            <w:top w:val="none" w:sz="0" w:space="0" w:color="auto"/>
            <w:left w:val="none" w:sz="0" w:space="0" w:color="auto"/>
            <w:bottom w:val="none" w:sz="0" w:space="0" w:color="auto"/>
            <w:right w:val="none" w:sz="0" w:space="0" w:color="auto"/>
          </w:divBdr>
          <w:divsChild>
            <w:div w:id="166526996">
              <w:marLeft w:val="0"/>
              <w:marRight w:val="0"/>
              <w:marTop w:val="0"/>
              <w:marBottom w:val="0"/>
              <w:divBdr>
                <w:top w:val="none" w:sz="0" w:space="0" w:color="auto"/>
                <w:left w:val="none" w:sz="0" w:space="0" w:color="auto"/>
                <w:bottom w:val="none" w:sz="0" w:space="0" w:color="auto"/>
                <w:right w:val="none" w:sz="0" w:space="0" w:color="auto"/>
              </w:divBdr>
              <w:divsChild>
                <w:div w:id="1739278745">
                  <w:marLeft w:val="0"/>
                  <w:marRight w:val="0"/>
                  <w:marTop w:val="0"/>
                  <w:marBottom w:val="0"/>
                  <w:divBdr>
                    <w:top w:val="single" w:sz="6" w:space="0" w:color="CCCCCC"/>
                    <w:left w:val="single" w:sz="6" w:space="0" w:color="CCCCCC"/>
                    <w:bottom w:val="single" w:sz="6" w:space="0" w:color="CCCCCC"/>
                    <w:right w:val="single" w:sz="6" w:space="0" w:color="CCCCCC"/>
                  </w:divBdr>
                  <w:divsChild>
                    <w:div w:id="1212886822">
                      <w:marLeft w:val="0"/>
                      <w:marRight w:val="0"/>
                      <w:marTop w:val="0"/>
                      <w:marBottom w:val="0"/>
                      <w:divBdr>
                        <w:top w:val="none" w:sz="0" w:space="0" w:color="auto"/>
                        <w:left w:val="none" w:sz="0" w:space="0" w:color="auto"/>
                        <w:bottom w:val="none" w:sz="0" w:space="0" w:color="auto"/>
                        <w:right w:val="none" w:sz="0" w:space="0" w:color="auto"/>
                      </w:divBdr>
                      <w:divsChild>
                        <w:div w:id="1306085546">
                          <w:marLeft w:val="0"/>
                          <w:marRight w:val="0"/>
                          <w:marTop w:val="0"/>
                          <w:marBottom w:val="0"/>
                          <w:divBdr>
                            <w:top w:val="none" w:sz="0" w:space="0" w:color="auto"/>
                            <w:left w:val="none" w:sz="0" w:space="0" w:color="auto"/>
                            <w:bottom w:val="none" w:sz="0" w:space="0" w:color="auto"/>
                            <w:right w:val="none" w:sz="0" w:space="0" w:color="auto"/>
                          </w:divBdr>
                          <w:divsChild>
                            <w:div w:id="488012744">
                              <w:marLeft w:val="0"/>
                              <w:marRight w:val="0"/>
                              <w:marTop w:val="0"/>
                              <w:marBottom w:val="0"/>
                              <w:divBdr>
                                <w:top w:val="none" w:sz="0" w:space="0" w:color="auto"/>
                                <w:left w:val="none" w:sz="0" w:space="0" w:color="auto"/>
                                <w:bottom w:val="none" w:sz="0" w:space="0" w:color="auto"/>
                                <w:right w:val="none" w:sz="0" w:space="0" w:color="auto"/>
                              </w:divBdr>
                              <w:divsChild>
                                <w:div w:id="1827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43720">
      <w:bodyDiv w:val="1"/>
      <w:marLeft w:val="0"/>
      <w:marRight w:val="0"/>
      <w:marTop w:val="0"/>
      <w:marBottom w:val="0"/>
      <w:divBdr>
        <w:top w:val="none" w:sz="0" w:space="0" w:color="auto"/>
        <w:left w:val="none" w:sz="0" w:space="0" w:color="auto"/>
        <w:bottom w:val="none" w:sz="0" w:space="0" w:color="auto"/>
        <w:right w:val="none" w:sz="0" w:space="0" w:color="auto"/>
      </w:divBdr>
    </w:div>
    <w:div w:id="388529665">
      <w:bodyDiv w:val="1"/>
      <w:marLeft w:val="0"/>
      <w:marRight w:val="0"/>
      <w:marTop w:val="0"/>
      <w:marBottom w:val="0"/>
      <w:divBdr>
        <w:top w:val="none" w:sz="0" w:space="0" w:color="auto"/>
        <w:left w:val="none" w:sz="0" w:space="0" w:color="auto"/>
        <w:bottom w:val="none" w:sz="0" w:space="0" w:color="auto"/>
        <w:right w:val="none" w:sz="0" w:space="0" w:color="auto"/>
      </w:divBdr>
      <w:divsChild>
        <w:div w:id="1247884807">
          <w:marLeft w:val="0"/>
          <w:marRight w:val="0"/>
          <w:marTop w:val="0"/>
          <w:marBottom w:val="0"/>
          <w:divBdr>
            <w:top w:val="none" w:sz="0" w:space="0" w:color="auto"/>
            <w:left w:val="none" w:sz="0" w:space="0" w:color="auto"/>
            <w:bottom w:val="none" w:sz="0" w:space="0" w:color="auto"/>
            <w:right w:val="none" w:sz="0" w:space="0" w:color="auto"/>
          </w:divBdr>
          <w:divsChild>
            <w:div w:id="10452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21">
      <w:bodyDiv w:val="1"/>
      <w:marLeft w:val="0"/>
      <w:marRight w:val="0"/>
      <w:marTop w:val="0"/>
      <w:marBottom w:val="0"/>
      <w:divBdr>
        <w:top w:val="none" w:sz="0" w:space="0" w:color="auto"/>
        <w:left w:val="none" w:sz="0" w:space="0" w:color="auto"/>
        <w:bottom w:val="none" w:sz="0" w:space="0" w:color="auto"/>
        <w:right w:val="none" w:sz="0" w:space="0" w:color="auto"/>
      </w:divBdr>
      <w:divsChild>
        <w:div w:id="1804231564">
          <w:marLeft w:val="0"/>
          <w:marRight w:val="0"/>
          <w:marTop w:val="0"/>
          <w:marBottom w:val="0"/>
          <w:divBdr>
            <w:top w:val="none" w:sz="0" w:space="0" w:color="auto"/>
            <w:left w:val="none" w:sz="0" w:space="0" w:color="auto"/>
            <w:bottom w:val="none" w:sz="0" w:space="0" w:color="auto"/>
            <w:right w:val="none" w:sz="0" w:space="0" w:color="auto"/>
          </w:divBdr>
          <w:divsChild>
            <w:div w:id="568418921">
              <w:marLeft w:val="0"/>
              <w:marRight w:val="0"/>
              <w:marTop w:val="0"/>
              <w:marBottom w:val="0"/>
              <w:divBdr>
                <w:top w:val="none" w:sz="0" w:space="0" w:color="auto"/>
                <w:left w:val="none" w:sz="0" w:space="0" w:color="auto"/>
                <w:bottom w:val="none" w:sz="0" w:space="0" w:color="auto"/>
                <w:right w:val="none" w:sz="0" w:space="0" w:color="auto"/>
              </w:divBdr>
              <w:divsChild>
                <w:div w:id="1707832659">
                  <w:marLeft w:val="0"/>
                  <w:marRight w:val="0"/>
                  <w:marTop w:val="0"/>
                  <w:marBottom w:val="0"/>
                  <w:divBdr>
                    <w:top w:val="single" w:sz="6" w:space="0" w:color="CCCCCC"/>
                    <w:left w:val="single" w:sz="6" w:space="0" w:color="CCCCCC"/>
                    <w:bottom w:val="single" w:sz="6" w:space="0" w:color="CCCCCC"/>
                    <w:right w:val="single" w:sz="6" w:space="0" w:color="CCCCCC"/>
                  </w:divBdr>
                  <w:divsChild>
                    <w:div w:id="1157922814">
                      <w:marLeft w:val="0"/>
                      <w:marRight w:val="0"/>
                      <w:marTop w:val="0"/>
                      <w:marBottom w:val="0"/>
                      <w:divBdr>
                        <w:top w:val="none" w:sz="0" w:space="0" w:color="auto"/>
                        <w:left w:val="none" w:sz="0" w:space="0" w:color="auto"/>
                        <w:bottom w:val="none" w:sz="0" w:space="0" w:color="auto"/>
                        <w:right w:val="none" w:sz="0" w:space="0" w:color="auto"/>
                      </w:divBdr>
                      <w:divsChild>
                        <w:div w:id="1843080454">
                          <w:marLeft w:val="0"/>
                          <w:marRight w:val="0"/>
                          <w:marTop w:val="0"/>
                          <w:marBottom w:val="0"/>
                          <w:divBdr>
                            <w:top w:val="none" w:sz="0" w:space="0" w:color="auto"/>
                            <w:left w:val="none" w:sz="0" w:space="0" w:color="auto"/>
                            <w:bottom w:val="none" w:sz="0" w:space="0" w:color="auto"/>
                            <w:right w:val="none" w:sz="0" w:space="0" w:color="auto"/>
                          </w:divBdr>
                          <w:divsChild>
                            <w:div w:id="577441529">
                              <w:marLeft w:val="0"/>
                              <w:marRight w:val="0"/>
                              <w:marTop w:val="0"/>
                              <w:marBottom w:val="0"/>
                              <w:divBdr>
                                <w:top w:val="none" w:sz="0" w:space="0" w:color="auto"/>
                                <w:left w:val="none" w:sz="0" w:space="0" w:color="auto"/>
                                <w:bottom w:val="none" w:sz="0" w:space="0" w:color="auto"/>
                                <w:right w:val="none" w:sz="0" w:space="0" w:color="auto"/>
                              </w:divBdr>
                              <w:divsChild>
                                <w:div w:id="3980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19822">
      <w:bodyDiv w:val="1"/>
      <w:marLeft w:val="0"/>
      <w:marRight w:val="0"/>
      <w:marTop w:val="0"/>
      <w:marBottom w:val="0"/>
      <w:divBdr>
        <w:top w:val="none" w:sz="0" w:space="0" w:color="auto"/>
        <w:left w:val="none" w:sz="0" w:space="0" w:color="auto"/>
        <w:bottom w:val="none" w:sz="0" w:space="0" w:color="auto"/>
        <w:right w:val="none" w:sz="0" w:space="0" w:color="auto"/>
      </w:divBdr>
    </w:div>
    <w:div w:id="549537147">
      <w:bodyDiv w:val="1"/>
      <w:marLeft w:val="0"/>
      <w:marRight w:val="0"/>
      <w:marTop w:val="0"/>
      <w:marBottom w:val="0"/>
      <w:divBdr>
        <w:top w:val="none" w:sz="0" w:space="0" w:color="auto"/>
        <w:left w:val="none" w:sz="0" w:space="0" w:color="auto"/>
        <w:bottom w:val="none" w:sz="0" w:space="0" w:color="auto"/>
        <w:right w:val="none" w:sz="0" w:space="0" w:color="auto"/>
      </w:divBdr>
    </w:div>
    <w:div w:id="552620343">
      <w:bodyDiv w:val="1"/>
      <w:marLeft w:val="0"/>
      <w:marRight w:val="0"/>
      <w:marTop w:val="0"/>
      <w:marBottom w:val="0"/>
      <w:divBdr>
        <w:top w:val="none" w:sz="0" w:space="0" w:color="auto"/>
        <w:left w:val="none" w:sz="0" w:space="0" w:color="auto"/>
        <w:bottom w:val="none" w:sz="0" w:space="0" w:color="auto"/>
        <w:right w:val="none" w:sz="0" w:space="0" w:color="auto"/>
      </w:divBdr>
      <w:divsChild>
        <w:div w:id="1876114093">
          <w:marLeft w:val="0"/>
          <w:marRight w:val="0"/>
          <w:marTop w:val="0"/>
          <w:marBottom w:val="0"/>
          <w:divBdr>
            <w:top w:val="none" w:sz="0" w:space="0" w:color="auto"/>
            <w:left w:val="none" w:sz="0" w:space="0" w:color="auto"/>
            <w:bottom w:val="none" w:sz="0" w:space="0" w:color="auto"/>
            <w:right w:val="none" w:sz="0" w:space="0" w:color="auto"/>
          </w:divBdr>
          <w:divsChild>
            <w:div w:id="173306751">
              <w:marLeft w:val="0"/>
              <w:marRight w:val="0"/>
              <w:marTop w:val="0"/>
              <w:marBottom w:val="0"/>
              <w:divBdr>
                <w:top w:val="none" w:sz="0" w:space="0" w:color="auto"/>
                <w:left w:val="none" w:sz="0" w:space="0" w:color="auto"/>
                <w:bottom w:val="none" w:sz="0" w:space="0" w:color="auto"/>
                <w:right w:val="none" w:sz="0" w:space="0" w:color="auto"/>
              </w:divBdr>
              <w:divsChild>
                <w:div w:id="378942598">
                  <w:marLeft w:val="0"/>
                  <w:marRight w:val="0"/>
                  <w:marTop w:val="0"/>
                  <w:marBottom w:val="0"/>
                  <w:divBdr>
                    <w:top w:val="single" w:sz="6" w:space="0" w:color="CCCCCC"/>
                    <w:left w:val="single" w:sz="6" w:space="0" w:color="CCCCCC"/>
                    <w:bottom w:val="single" w:sz="6" w:space="0" w:color="CCCCCC"/>
                    <w:right w:val="single" w:sz="6" w:space="0" w:color="CCCCCC"/>
                  </w:divBdr>
                  <w:divsChild>
                    <w:div w:id="2036929825">
                      <w:marLeft w:val="0"/>
                      <w:marRight w:val="0"/>
                      <w:marTop w:val="0"/>
                      <w:marBottom w:val="0"/>
                      <w:divBdr>
                        <w:top w:val="none" w:sz="0" w:space="0" w:color="auto"/>
                        <w:left w:val="none" w:sz="0" w:space="0" w:color="auto"/>
                        <w:bottom w:val="none" w:sz="0" w:space="0" w:color="auto"/>
                        <w:right w:val="none" w:sz="0" w:space="0" w:color="auto"/>
                      </w:divBdr>
                      <w:divsChild>
                        <w:div w:id="133256825">
                          <w:marLeft w:val="0"/>
                          <w:marRight w:val="0"/>
                          <w:marTop w:val="0"/>
                          <w:marBottom w:val="0"/>
                          <w:divBdr>
                            <w:top w:val="none" w:sz="0" w:space="0" w:color="auto"/>
                            <w:left w:val="none" w:sz="0" w:space="0" w:color="auto"/>
                            <w:bottom w:val="none" w:sz="0" w:space="0" w:color="auto"/>
                            <w:right w:val="none" w:sz="0" w:space="0" w:color="auto"/>
                          </w:divBdr>
                          <w:divsChild>
                            <w:div w:id="825585939">
                              <w:marLeft w:val="0"/>
                              <w:marRight w:val="0"/>
                              <w:marTop w:val="0"/>
                              <w:marBottom w:val="0"/>
                              <w:divBdr>
                                <w:top w:val="none" w:sz="0" w:space="0" w:color="auto"/>
                                <w:left w:val="none" w:sz="0" w:space="0" w:color="auto"/>
                                <w:bottom w:val="none" w:sz="0" w:space="0" w:color="auto"/>
                                <w:right w:val="none" w:sz="0" w:space="0" w:color="auto"/>
                              </w:divBdr>
                              <w:divsChild>
                                <w:div w:id="1297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7531">
      <w:bodyDiv w:val="1"/>
      <w:marLeft w:val="0"/>
      <w:marRight w:val="0"/>
      <w:marTop w:val="0"/>
      <w:marBottom w:val="0"/>
      <w:divBdr>
        <w:top w:val="none" w:sz="0" w:space="0" w:color="auto"/>
        <w:left w:val="none" w:sz="0" w:space="0" w:color="auto"/>
        <w:bottom w:val="none" w:sz="0" w:space="0" w:color="auto"/>
        <w:right w:val="none" w:sz="0" w:space="0" w:color="auto"/>
      </w:divBdr>
    </w:div>
    <w:div w:id="606960010">
      <w:bodyDiv w:val="1"/>
      <w:marLeft w:val="0"/>
      <w:marRight w:val="0"/>
      <w:marTop w:val="0"/>
      <w:marBottom w:val="0"/>
      <w:divBdr>
        <w:top w:val="none" w:sz="0" w:space="0" w:color="auto"/>
        <w:left w:val="none" w:sz="0" w:space="0" w:color="auto"/>
        <w:bottom w:val="none" w:sz="0" w:space="0" w:color="auto"/>
        <w:right w:val="none" w:sz="0" w:space="0" w:color="auto"/>
      </w:divBdr>
    </w:div>
    <w:div w:id="714693251">
      <w:bodyDiv w:val="1"/>
      <w:marLeft w:val="0"/>
      <w:marRight w:val="0"/>
      <w:marTop w:val="0"/>
      <w:marBottom w:val="0"/>
      <w:divBdr>
        <w:top w:val="none" w:sz="0" w:space="0" w:color="auto"/>
        <w:left w:val="none" w:sz="0" w:space="0" w:color="auto"/>
        <w:bottom w:val="none" w:sz="0" w:space="0" w:color="auto"/>
        <w:right w:val="none" w:sz="0" w:space="0" w:color="auto"/>
      </w:divBdr>
    </w:div>
    <w:div w:id="719473487">
      <w:bodyDiv w:val="1"/>
      <w:marLeft w:val="0"/>
      <w:marRight w:val="0"/>
      <w:marTop w:val="0"/>
      <w:marBottom w:val="0"/>
      <w:divBdr>
        <w:top w:val="none" w:sz="0" w:space="0" w:color="auto"/>
        <w:left w:val="none" w:sz="0" w:space="0" w:color="auto"/>
        <w:bottom w:val="none" w:sz="0" w:space="0" w:color="auto"/>
        <w:right w:val="none" w:sz="0" w:space="0" w:color="auto"/>
      </w:divBdr>
    </w:div>
    <w:div w:id="793211415">
      <w:bodyDiv w:val="1"/>
      <w:marLeft w:val="0"/>
      <w:marRight w:val="0"/>
      <w:marTop w:val="0"/>
      <w:marBottom w:val="0"/>
      <w:divBdr>
        <w:top w:val="none" w:sz="0" w:space="0" w:color="auto"/>
        <w:left w:val="none" w:sz="0" w:space="0" w:color="auto"/>
        <w:bottom w:val="none" w:sz="0" w:space="0" w:color="auto"/>
        <w:right w:val="none" w:sz="0" w:space="0" w:color="auto"/>
      </w:divBdr>
      <w:divsChild>
        <w:div w:id="795414750">
          <w:marLeft w:val="0"/>
          <w:marRight w:val="0"/>
          <w:marTop w:val="0"/>
          <w:marBottom w:val="0"/>
          <w:divBdr>
            <w:top w:val="none" w:sz="0" w:space="0" w:color="auto"/>
            <w:left w:val="none" w:sz="0" w:space="0" w:color="auto"/>
            <w:bottom w:val="none" w:sz="0" w:space="0" w:color="auto"/>
            <w:right w:val="none" w:sz="0" w:space="0" w:color="auto"/>
          </w:divBdr>
          <w:divsChild>
            <w:div w:id="26879864">
              <w:marLeft w:val="0"/>
              <w:marRight w:val="0"/>
              <w:marTop w:val="0"/>
              <w:marBottom w:val="0"/>
              <w:divBdr>
                <w:top w:val="none" w:sz="0" w:space="0" w:color="auto"/>
                <w:left w:val="none" w:sz="0" w:space="0" w:color="auto"/>
                <w:bottom w:val="none" w:sz="0" w:space="0" w:color="auto"/>
                <w:right w:val="none" w:sz="0" w:space="0" w:color="auto"/>
              </w:divBdr>
              <w:divsChild>
                <w:div w:id="457407663">
                  <w:marLeft w:val="0"/>
                  <w:marRight w:val="0"/>
                  <w:marTop w:val="0"/>
                  <w:marBottom w:val="0"/>
                  <w:divBdr>
                    <w:top w:val="single" w:sz="6" w:space="0" w:color="CCCCCC"/>
                    <w:left w:val="single" w:sz="6" w:space="0" w:color="CCCCCC"/>
                    <w:bottom w:val="single" w:sz="6" w:space="0" w:color="CCCCCC"/>
                    <w:right w:val="single" w:sz="6" w:space="0" w:color="CCCCCC"/>
                  </w:divBdr>
                  <w:divsChild>
                    <w:div w:id="1747533485">
                      <w:marLeft w:val="0"/>
                      <w:marRight w:val="0"/>
                      <w:marTop w:val="0"/>
                      <w:marBottom w:val="0"/>
                      <w:divBdr>
                        <w:top w:val="none" w:sz="0" w:space="0" w:color="auto"/>
                        <w:left w:val="none" w:sz="0" w:space="0" w:color="auto"/>
                        <w:bottom w:val="none" w:sz="0" w:space="0" w:color="auto"/>
                        <w:right w:val="none" w:sz="0" w:space="0" w:color="auto"/>
                      </w:divBdr>
                      <w:divsChild>
                        <w:div w:id="1915165414">
                          <w:marLeft w:val="0"/>
                          <w:marRight w:val="0"/>
                          <w:marTop w:val="0"/>
                          <w:marBottom w:val="0"/>
                          <w:divBdr>
                            <w:top w:val="none" w:sz="0" w:space="0" w:color="auto"/>
                            <w:left w:val="none" w:sz="0" w:space="0" w:color="auto"/>
                            <w:bottom w:val="none" w:sz="0" w:space="0" w:color="auto"/>
                            <w:right w:val="none" w:sz="0" w:space="0" w:color="auto"/>
                          </w:divBdr>
                          <w:divsChild>
                            <w:div w:id="638615097">
                              <w:marLeft w:val="0"/>
                              <w:marRight w:val="0"/>
                              <w:marTop w:val="0"/>
                              <w:marBottom w:val="0"/>
                              <w:divBdr>
                                <w:top w:val="none" w:sz="0" w:space="0" w:color="auto"/>
                                <w:left w:val="none" w:sz="0" w:space="0" w:color="auto"/>
                                <w:bottom w:val="none" w:sz="0" w:space="0" w:color="auto"/>
                                <w:right w:val="none" w:sz="0" w:space="0" w:color="auto"/>
                              </w:divBdr>
                              <w:divsChild>
                                <w:div w:id="323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954490">
      <w:bodyDiv w:val="1"/>
      <w:marLeft w:val="0"/>
      <w:marRight w:val="0"/>
      <w:marTop w:val="0"/>
      <w:marBottom w:val="0"/>
      <w:divBdr>
        <w:top w:val="none" w:sz="0" w:space="0" w:color="auto"/>
        <w:left w:val="none" w:sz="0" w:space="0" w:color="auto"/>
        <w:bottom w:val="none" w:sz="0" w:space="0" w:color="auto"/>
        <w:right w:val="none" w:sz="0" w:space="0" w:color="auto"/>
      </w:divBdr>
      <w:divsChild>
        <w:div w:id="65150415">
          <w:marLeft w:val="0"/>
          <w:marRight w:val="0"/>
          <w:marTop w:val="0"/>
          <w:marBottom w:val="0"/>
          <w:divBdr>
            <w:top w:val="none" w:sz="0" w:space="0" w:color="auto"/>
            <w:left w:val="none" w:sz="0" w:space="0" w:color="auto"/>
            <w:bottom w:val="none" w:sz="0" w:space="0" w:color="auto"/>
            <w:right w:val="none" w:sz="0" w:space="0" w:color="auto"/>
          </w:divBdr>
          <w:divsChild>
            <w:div w:id="336998794">
              <w:marLeft w:val="0"/>
              <w:marRight w:val="0"/>
              <w:marTop w:val="0"/>
              <w:marBottom w:val="0"/>
              <w:divBdr>
                <w:top w:val="none" w:sz="0" w:space="0" w:color="auto"/>
                <w:left w:val="none" w:sz="0" w:space="0" w:color="auto"/>
                <w:bottom w:val="none" w:sz="0" w:space="0" w:color="auto"/>
                <w:right w:val="none" w:sz="0" w:space="0" w:color="auto"/>
              </w:divBdr>
              <w:divsChild>
                <w:div w:id="710495531">
                  <w:marLeft w:val="0"/>
                  <w:marRight w:val="0"/>
                  <w:marTop w:val="0"/>
                  <w:marBottom w:val="0"/>
                  <w:divBdr>
                    <w:top w:val="single" w:sz="6" w:space="0" w:color="CCCCCC"/>
                    <w:left w:val="single" w:sz="6" w:space="0" w:color="CCCCCC"/>
                    <w:bottom w:val="single" w:sz="6" w:space="0" w:color="CCCCCC"/>
                    <w:right w:val="single" w:sz="6" w:space="0" w:color="CCCCCC"/>
                  </w:divBdr>
                  <w:divsChild>
                    <w:div w:id="550195644">
                      <w:marLeft w:val="0"/>
                      <w:marRight w:val="0"/>
                      <w:marTop w:val="0"/>
                      <w:marBottom w:val="0"/>
                      <w:divBdr>
                        <w:top w:val="none" w:sz="0" w:space="0" w:color="auto"/>
                        <w:left w:val="none" w:sz="0" w:space="0" w:color="auto"/>
                        <w:bottom w:val="none" w:sz="0" w:space="0" w:color="auto"/>
                        <w:right w:val="none" w:sz="0" w:space="0" w:color="auto"/>
                      </w:divBdr>
                      <w:divsChild>
                        <w:div w:id="2119137806">
                          <w:marLeft w:val="0"/>
                          <w:marRight w:val="0"/>
                          <w:marTop w:val="0"/>
                          <w:marBottom w:val="0"/>
                          <w:divBdr>
                            <w:top w:val="none" w:sz="0" w:space="0" w:color="auto"/>
                            <w:left w:val="none" w:sz="0" w:space="0" w:color="auto"/>
                            <w:bottom w:val="none" w:sz="0" w:space="0" w:color="auto"/>
                            <w:right w:val="none" w:sz="0" w:space="0" w:color="auto"/>
                          </w:divBdr>
                          <w:divsChild>
                            <w:div w:id="1559902999">
                              <w:marLeft w:val="0"/>
                              <w:marRight w:val="0"/>
                              <w:marTop w:val="0"/>
                              <w:marBottom w:val="0"/>
                              <w:divBdr>
                                <w:top w:val="none" w:sz="0" w:space="0" w:color="auto"/>
                                <w:left w:val="none" w:sz="0" w:space="0" w:color="auto"/>
                                <w:bottom w:val="none" w:sz="0" w:space="0" w:color="auto"/>
                                <w:right w:val="none" w:sz="0" w:space="0" w:color="auto"/>
                              </w:divBdr>
                              <w:divsChild>
                                <w:div w:id="1705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520">
      <w:bodyDiv w:val="1"/>
      <w:marLeft w:val="0"/>
      <w:marRight w:val="0"/>
      <w:marTop w:val="0"/>
      <w:marBottom w:val="0"/>
      <w:divBdr>
        <w:top w:val="none" w:sz="0" w:space="0" w:color="auto"/>
        <w:left w:val="none" w:sz="0" w:space="0" w:color="auto"/>
        <w:bottom w:val="none" w:sz="0" w:space="0" w:color="auto"/>
        <w:right w:val="none" w:sz="0" w:space="0" w:color="auto"/>
      </w:divBdr>
      <w:divsChild>
        <w:div w:id="1815902621">
          <w:marLeft w:val="0"/>
          <w:marRight w:val="0"/>
          <w:marTop w:val="0"/>
          <w:marBottom w:val="0"/>
          <w:divBdr>
            <w:top w:val="none" w:sz="0" w:space="0" w:color="auto"/>
            <w:left w:val="none" w:sz="0" w:space="0" w:color="auto"/>
            <w:bottom w:val="none" w:sz="0" w:space="0" w:color="auto"/>
            <w:right w:val="none" w:sz="0" w:space="0" w:color="auto"/>
          </w:divBdr>
          <w:divsChild>
            <w:div w:id="588806669">
              <w:marLeft w:val="0"/>
              <w:marRight w:val="0"/>
              <w:marTop w:val="0"/>
              <w:marBottom w:val="0"/>
              <w:divBdr>
                <w:top w:val="none" w:sz="0" w:space="0" w:color="auto"/>
                <w:left w:val="none" w:sz="0" w:space="0" w:color="auto"/>
                <w:bottom w:val="none" w:sz="0" w:space="0" w:color="auto"/>
                <w:right w:val="none" w:sz="0" w:space="0" w:color="auto"/>
              </w:divBdr>
              <w:divsChild>
                <w:div w:id="1060641254">
                  <w:marLeft w:val="0"/>
                  <w:marRight w:val="0"/>
                  <w:marTop w:val="0"/>
                  <w:marBottom w:val="0"/>
                  <w:divBdr>
                    <w:top w:val="single" w:sz="6" w:space="0" w:color="CCCCCC"/>
                    <w:left w:val="single" w:sz="6" w:space="0" w:color="CCCCCC"/>
                    <w:bottom w:val="single" w:sz="6" w:space="0" w:color="CCCCCC"/>
                    <w:right w:val="single" w:sz="6" w:space="0" w:color="CCCCCC"/>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sChild>
                            <w:div w:id="1868904134">
                              <w:marLeft w:val="0"/>
                              <w:marRight w:val="0"/>
                              <w:marTop w:val="0"/>
                              <w:marBottom w:val="0"/>
                              <w:divBdr>
                                <w:top w:val="none" w:sz="0" w:space="0" w:color="auto"/>
                                <w:left w:val="none" w:sz="0" w:space="0" w:color="auto"/>
                                <w:bottom w:val="none" w:sz="0" w:space="0" w:color="auto"/>
                                <w:right w:val="none" w:sz="0" w:space="0" w:color="auto"/>
                              </w:divBdr>
                              <w:divsChild>
                                <w:div w:id="17708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91672">
      <w:bodyDiv w:val="1"/>
      <w:marLeft w:val="0"/>
      <w:marRight w:val="0"/>
      <w:marTop w:val="0"/>
      <w:marBottom w:val="0"/>
      <w:divBdr>
        <w:top w:val="none" w:sz="0" w:space="0" w:color="auto"/>
        <w:left w:val="none" w:sz="0" w:space="0" w:color="auto"/>
        <w:bottom w:val="none" w:sz="0" w:space="0" w:color="auto"/>
        <w:right w:val="none" w:sz="0" w:space="0" w:color="auto"/>
      </w:divBdr>
    </w:div>
    <w:div w:id="929199436">
      <w:bodyDiv w:val="1"/>
      <w:marLeft w:val="0"/>
      <w:marRight w:val="0"/>
      <w:marTop w:val="0"/>
      <w:marBottom w:val="0"/>
      <w:divBdr>
        <w:top w:val="none" w:sz="0" w:space="0" w:color="auto"/>
        <w:left w:val="none" w:sz="0" w:space="0" w:color="auto"/>
        <w:bottom w:val="none" w:sz="0" w:space="0" w:color="auto"/>
        <w:right w:val="none" w:sz="0" w:space="0" w:color="auto"/>
      </w:divBdr>
      <w:divsChild>
        <w:div w:id="276452149">
          <w:marLeft w:val="0"/>
          <w:marRight w:val="0"/>
          <w:marTop w:val="0"/>
          <w:marBottom w:val="0"/>
          <w:divBdr>
            <w:top w:val="none" w:sz="0" w:space="0" w:color="auto"/>
            <w:left w:val="none" w:sz="0" w:space="0" w:color="auto"/>
            <w:bottom w:val="none" w:sz="0" w:space="0" w:color="auto"/>
            <w:right w:val="none" w:sz="0" w:space="0" w:color="auto"/>
          </w:divBdr>
        </w:div>
      </w:divsChild>
    </w:div>
    <w:div w:id="1034770665">
      <w:bodyDiv w:val="1"/>
      <w:marLeft w:val="0"/>
      <w:marRight w:val="0"/>
      <w:marTop w:val="0"/>
      <w:marBottom w:val="0"/>
      <w:divBdr>
        <w:top w:val="none" w:sz="0" w:space="0" w:color="auto"/>
        <w:left w:val="none" w:sz="0" w:space="0" w:color="auto"/>
        <w:bottom w:val="none" w:sz="0" w:space="0" w:color="auto"/>
        <w:right w:val="none" w:sz="0" w:space="0" w:color="auto"/>
      </w:divBdr>
    </w:div>
    <w:div w:id="1038747021">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
          <w:marLeft w:val="0"/>
          <w:marRight w:val="0"/>
          <w:marTop w:val="0"/>
          <w:marBottom w:val="0"/>
          <w:divBdr>
            <w:top w:val="none" w:sz="0" w:space="0" w:color="auto"/>
            <w:left w:val="none" w:sz="0" w:space="0" w:color="auto"/>
            <w:bottom w:val="none" w:sz="0" w:space="0" w:color="auto"/>
            <w:right w:val="none" w:sz="0" w:space="0" w:color="auto"/>
          </w:divBdr>
          <w:divsChild>
            <w:div w:id="2088336259">
              <w:marLeft w:val="0"/>
              <w:marRight w:val="0"/>
              <w:marTop w:val="0"/>
              <w:marBottom w:val="0"/>
              <w:divBdr>
                <w:top w:val="none" w:sz="0" w:space="0" w:color="auto"/>
                <w:left w:val="none" w:sz="0" w:space="0" w:color="auto"/>
                <w:bottom w:val="none" w:sz="0" w:space="0" w:color="auto"/>
                <w:right w:val="none" w:sz="0" w:space="0" w:color="auto"/>
              </w:divBdr>
              <w:divsChild>
                <w:div w:id="675882280">
                  <w:marLeft w:val="0"/>
                  <w:marRight w:val="0"/>
                  <w:marTop w:val="0"/>
                  <w:marBottom w:val="0"/>
                  <w:divBdr>
                    <w:top w:val="single" w:sz="6" w:space="0" w:color="CCCCCC"/>
                    <w:left w:val="single" w:sz="6" w:space="0" w:color="CCCCCC"/>
                    <w:bottom w:val="single" w:sz="6" w:space="0" w:color="CCCCCC"/>
                    <w:right w:val="single" w:sz="6" w:space="0" w:color="CCCCCC"/>
                  </w:divBdr>
                  <w:divsChild>
                    <w:div w:id="252083613">
                      <w:marLeft w:val="0"/>
                      <w:marRight w:val="0"/>
                      <w:marTop w:val="0"/>
                      <w:marBottom w:val="0"/>
                      <w:divBdr>
                        <w:top w:val="none" w:sz="0" w:space="0" w:color="auto"/>
                        <w:left w:val="none" w:sz="0" w:space="0" w:color="auto"/>
                        <w:bottom w:val="none" w:sz="0" w:space="0" w:color="auto"/>
                        <w:right w:val="none" w:sz="0" w:space="0" w:color="auto"/>
                      </w:divBdr>
                      <w:divsChild>
                        <w:div w:id="524439441">
                          <w:marLeft w:val="0"/>
                          <w:marRight w:val="0"/>
                          <w:marTop w:val="0"/>
                          <w:marBottom w:val="0"/>
                          <w:divBdr>
                            <w:top w:val="none" w:sz="0" w:space="0" w:color="auto"/>
                            <w:left w:val="none" w:sz="0" w:space="0" w:color="auto"/>
                            <w:bottom w:val="none" w:sz="0" w:space="0" w:color="auto"/>
                            <w:right w:val="none" w:sz="0" w:space="0" w:color="auto"/>
                          </w:divBdr>
                          <w:divsChild>
                            <w:div w:id="2094006880">
                              <w:marLeft w:val="0"/>
                              <w:marRight w:val="0"/>
                              <w:marTop w:val="0"/>
                              <w:marBottom w:val="0"/>
                              <w:divBdr>
                                <w:top w:val="none" w:sz="0" w:space="0" w:color="auto"/>
                                <w:left w:val="none" w:sz="0" w:space="0" w:color="auto"/>
                                <w:bottom w:val="none" w:sz="0" w:space="0" w:color="auto"/>
                                <w:right w:val="none" w:sz="0" w:space="0" w:color="auto"/>
                              </w:divBdr>
                              <w:divsChild>
                                <w:div w:id="1078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1880">
      <w:bodyDiv w:val="1"/>
      <w:marLeft w:val="0"/>
      <w:marRight w:val="0"/>
      <w:marTop w:val="0"/>
      <w:marBottom w:val="0"/>
      <w:divBdr>
        <w:top w:val="none" w:sz="0" w:space="0" w:color="auto"/>
        <w:left w:val="none" w:sz="0" w:space="0" w:color="auto"/>
        <w:bottom w:val="none" w:sz="0" w:space="0" w:color="auto"/>
        <w:right w:val="none" w:sz="0" w:space="0" w:color="auto"/>
      </w:divBdr>
    </w:div>
    <w:div w:id="1051735419">
      <w:bodyDiv w:val="1"/>
      <w:marLeft w:val="0"/>
      <w:marRight w:val="0"/>
      <w:marTop w:val="0"/>
      <w:marBottom w:val="0"/>
      <w:divBdr>
        <w:top w:val="none" w:sz="0" w:space="0" w:color="auto"/>
        <w:left w:val="none" w:sz="0" w:space="0" w:color="auto"/>
        <w:bottom w:val="none" w:sz="0" w:space="0" w:color="auto"/>
        <w:right w:val="none" w:sz="0" w:space="0" w:color="auto"/>
      </w:divBdr>
    </w:div>
    <w:div w:id="1105878851">
      <w:bodyDiv w:val="1"/>
      <w:marLeft w:val="0"/>
      <w:marRight w:val="0"/>
      <w:marTop w:val="0"/>
      <w:marBottom w:val="0"/>
      <w:divBdr>
        <w:top w:val="none" w:sz="0" w:space="0" w:color="auto"/>
        <w:left w:val="none" w:sz="0" w:space="0" w:color="auto"/>
        <w:bottom w:val="none" w:sz="0" w:space="0" w:color="auto"/>
        <w:right w:val="none" w:sz="0" w:space="0" w:color="auto"/>
      </w:divBdr>
    </w:div>
    <w:div w:id="1134100514">
      <w:bodyDiv w:val="1"/>
      <w:marLeft w:val="0"/>
      <w:marRight w:val="0"/>
      <w:marTop w:val="0"/>
      <w:marBottom w:val="0"/>
      <w:divBdr>
        <w:top w:val="none" w:sz="0" w:space="0" w:color="auto"/>
        <w:left w:val="none" w:sz="0" w:space="0" w:color="auto"/>
        <w:bottom w:val="none" w:sz="0" w:space="0" w:color="auto"/>
        <w:right w:val="none" w:sz="0" w:space="0" w:color="auto"/>
      </w:divBdr>
    </w:div>
    <w:div w:id="1217548491">
      <w:bodyDiv w:val="1"/>
      <w:marLeft w:val="0"/>
      <w:marRight w:val="0"/>
      <w:marTop w:val="0"/>
      <w:marBottom w:val="0"/>
      <w:divBdr>
        <w:top w:val="none" w:sz="0" w:space="0" w:color="auto"/>
        <w:left w:val="none" w:sz="0" w:space="0" w:color="auto"/>
        <w:bottom w:val="none" w:sz="0" w:space="0" w:color="auto"/>
        <w:right w:val="none" w:sz="0" w:space="0" w:color="auto"/>
      </w:divBdr>
    </w:div>
    <w:div w:id="1238251931">
      <w:bodyDiv w:val="1"/>
      <w:marLeft w:val="0"/>
      <w:marRight w:val="0"/>
      <w:marTop w:val="0"/>
      <w:marBottom w:val="0"/>
      <w:divBdr>
        <w:top w:val="none" w:sz="0" w:space="0" w:color="auto"/>
        <w:left w:val="none" w:sz="0" w:space="0" w:color="auto"/>
        <w:bottom w:val="none" w:sz="0" w:space="0" w:color="auto"/>
        <w:right w:val="none" w:sz="0" w:space="0" w:color="auto"/>
      </w:divBdr>
    </w:div>
    <w:div w:id="1304189990">
      <w:bodyDiv w:val="1"/>
      <w:marLeft w:val="0"/>
      <w:marRight w:val="0"/>
      <w:marTop w:val="0"/>
      <w:marBottom w:val="0"/>
      <w:divBdr>
        <w:top w:val="none" w:sz="0" w:space="0" w:color="auto"/>
        <w:left w:val="none" w:sz="0" w:space="0" w:color="auto"/>
        <w:bottom w:val="none" w:sz="0" w:space="0" w:color="auto"/>
        <w:right w:val="none" w:sz="0" w:space="0" w:color="auto"/>
      </w:divBdr>
    </w:div>
    <w:div w:id="1361013304">
      <w:bodyDiv w:val="1"/>
      <w:marLeft w:val="0"/>
      <w:marRight w:val="0"/>
      <w:marTop w:val="0"/>
      <w:marBottom w:val="0"/>
      <w:divBdr>
        <w:top w:val="none" w:sz="0" w:space="0" w:color="auto"/>
        <w:left w:val="none" w:sz="0" w:space="0" w:color="auto"/>
        <w:bottom w:val="none" w:sz="0" w:space="0" w:color="auto"/>
        <w:right w:val="none" w:sz="0" w:space="0" w:color="auto"/>
      </w:divBdr>
      <w:divsChild>
        <w:div w:id="355808722">
          <w:marLeft w:val="0"/>
          <w:marRight w:val="0"/>
          <w:marTop w:val="0"/>
          <w:marBottom w:val="0"/>
          <w:divBdr>
            <w:top w:val="none" w:sz="0" w:space="0" w:color="auto"/>
            <w:left w:val="none" w:sz="0" w:space="0" w:color="auto"/>
            <w:bottom w:val="none" w:sz="0" w:space="0" w:color="auto"/>
            <w:right w:val="none" w:sz="0" w:space="0" w:color="auto"/>
          </w:divBdr>
          <w:divsChild>
            <w:div w:id="1518155774">
              <w:marLeft w:val="0"/>
              <w:marRight w:val="0"/>
              <w:marTop w:val="0"/>
              <w:marBottom w:val="0"/>
              <w:divBdr>
                <w:top w:val="none" w:sz="0" w:space="0" w:color="auto"/>
                <w:left w:val="none" w:sz="0" w:space="0" w:color="auto"/>
                <w:bottom w:val="none" w:sz="0" w:space="0" w:color="auto"/>
                <w:right w:val="none" w:sz="0" w:space="0" w:color="auto"/>
              </w:divBdr>
              <w:divsChild>
                <w:div w:id="1326319956">
                  <w:marLeft w:val="0"/>
                  <w:marRight w:val="0"/>
                  <w:marTop w:val="0"/>
                  <w:marBottom w:val="0"/>
                  <w:divBdr>
                    <w:top w:val="single" w:sz="6" w:space="0" w:color="CCCCCC"/>
                    <w:left w:val="single" w:sz="6" w:space="0" w:color="CCCCCC"/>
                    <w:bottom w:val="single" w:sz="6" w:space="0" w:color="CCCCCC"/>
                    <w:right w:val="single" w:sz="6" w:space="0" w:color="CCCCCC"/>
                  </w:divBdr>
                  <w:divsChild>
                    <w:div w:id="597980374">
                      <w:marLeft w:val="0"/>
                      <w:marRight w:val="0"/>
                      <w:marTop w:val="0"/>
                      <w:marBottom w:val="0"/>
                      <w:divBdr>
                        <w:top w:val="none" w:sz="0" w:space="0" w:color="auto"/>
                        <w:left w:val="none" w:sz="0" w:space="0" w:color="auto"/>
                        <w:bottom w:val="none" w:sz="0" w:space="0" w:color="auto"/>
                        <w:right w:val="none" w:sz="0" w:space="0" w:color="auto"/>
                      </w:divBdr>
                      <w:divsChild>
                        <w:div w:id="696194417">
                          <w:marLeft w:val="0"/>
                          <w:marRight w:val="0"/>
                          <w:marTop w:val="0"/>
                          <w:marBottom w:val="0"/>
                          <w:divBdr>
                            <w:top w:val="none" w:sz="0" w:space="0" w:color="auto"/>
                            <w:left w:val="none" w:sz="0" w:space="0" w:color="auto"/>
                            <w:bottom w:val="none" w:sz="0" w:space="0" w:color="auto"/>
                            <w:right w:val="none" w:sz="0" w:space="0" w:color="auto"/>
                          </w:divBdr>
                          <w:divsChild>
                            <w:div w:id="480004669">
                              <w:marLeft w:val="0"/>
                              <w:marRight w:val="0"/>
                              <w:marTop w:val="0"/>
                              <w:marBottom w:val="0"/>
                              <w:divBdr>
                                <w:top w:val="none" w:sz="0" w:space="0" w:color="auto"/>
                                <w:left w:val="none" w:sz="0" w:space="0" w:color="auto"/>
                                <w:bottom w:val="none" w:sz="0" w:space="0" w:color="auto"/>
                                <w:right w:val="none" w:sz="0" w:space="0" w:color="auto"/>
                              </w:divBdr>
                              <w:divsChild>
                                <w:div w:id="1901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49984">
      <w:bodyDiv w:val="1"/>
      <w:marLeft w:val="0"/>
      <w:marRight w:val="0"/>
      <w:marTop w:val="0"/>
      <w:marBottom w:val="0"/>
      <w:divBdr>
        <w:top w:val="none" w:sz="0" w:space="0" w:color="auto"/>
        <w:left w:val="none" w:sz="0" w:space="0" w:color="auto"/>
        <w:bottom w:val="none" w:sz="0" w:space="0" w:color="auto"/>
        <w:right w:val="none" w:sz="0" w:space="0" w:color="auto"/>
      </w:divBdr>
      <w:divsChild>
        <w:div w:id="441416641">
          <w:marLeft w:val="0"/>
          <w:marRight w:val="0"/>
          <w:marTop w:val="0"/>
          <w:marBottom w:val="0"/>
          <w:divBdr>
            <w:top w:val="none" w:sz="0" w:space="0" w:color="auto"/>
            <w:left w:val="none" w:sz="0" w:space="0" w:color="auto"/>
            <w:bottom w:val="none" w:sz="0" w:space="0" w:color="auto"/>
            <w:right w:val="none" w:sz="0" w:space="0" w:color="auto"/>
          </w:divBdr>
          <w:divsChild>
            <w:div w:id="482234361">
              <w:marLeft w:val="0"/>
              <w:marRight w:val="0"/>
              <w:marTop w:val="0"/>
              <w:marBottom w:val="0"/>
              <w:divBdr>
                <w:top w:val="none" w:sz="0" w:space="0" w:color="auto"/>
                <w:left w:val="none" w:sz="0" w:space="0" w:color="auto"/>
                <w:bottom w:val="none" w:sz="0" w:space="0" w:color="auto"/>
                <w:right w:val="none" w:sz="0" w:space="0" w:color="auto"/>
              </w:divBdr>
              <w:divsChild>
                <w:div w:id="1384014398">
                  <w:marLeft w:val="0"/>
                  <w:marRight w:val="0"/>
                  <w:marTop w:val="0"/>
                  <w:marBottom w:val="0"/>
                  <w:divBdr>
                    <w:top w:val="single" w:sz="6" w:space="0" w:color="CCCCCC"/>
                    <w:left w:val="single" w:sz="6" w:space="0" w:color="CCCCCC"/>
                    <w:bottom w:val="single" w:sz="6" w:space="0" w:color="CCCCCC"/>
                    <w:right w:val="single" w:sz="6" w:space="0" w:color="CCCCCC"/>
                  </w:divBdr>
                  <w:divsChild>
                    <w:div w:id="1477837863">
                      <w:marLeft w:val="0"/>
                      <w:marRight w:val="0"/>
                      <w:marTop w:val="0"/>
                      <w:marBottom w:val="0"/>
                      <w:divBdr>
                        <w:top w:val="none" w:sz="0" w:space="0" w:color="auto"/>
                        <w:left w:val="none" w:sz="0" w:space="0" w:color="auto"/>
                        <w:bottom w:val="none" w:sz="0" w:space="0" w:color="auto"/>
                        <w:right w:val="none" w:sz="0" w:space="0" w:color="auto"/>
                      </w:divBdr>
                      <w:divsChild>
                        <w:div w:id="210120116">
                          <w:marLeft w:val="0"/>
                          <w:marRight w:val="0"/>
                          <w:marTop w:val="0"/>
                          <w:marBottom w:val="0"/>
                          <w:divBdr>
                            <w:top w:val="none" w:sz="0" w:space="0" w:color="auto"/>
                            <w:left w:val="none" w:sz="0" w:space="0" w:color="auto"/>
                            <w:bottom w:val="none" w:sz="0" w:space="0" w:color="auto"/>
                            <w:right w:val="none" w:sz="0" w:space="0" w:color="auto"/>
                          </w:divBdr>
                          <w:divsChild>
                            <w:div w:id="1059984909">
                              <w:marLeft w:val="0"/>
                              <w:marRight w:val="0"/>
                              <w:marTop w:val="0"/>
                              <w:marBottom w:val="0"/>
                              <w:divBdr>
                                <w:top w:val="none" w:sz="0" w:space="0" w:color="auto"/>
                                <w:left w:val="none" w:sz="0" w:space="0" w:color="auto"/>
                                <w:bottom w:val="none" w:sz="0" w:space="0" w:color="auto"/>
                                <w:right w:val="none" w:sz="0" w:space="0" w:color="auto"/>
                              </w:divBdr>
                              <w:divsChild>
                                <w:div w:id="100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466076">
      <w:bodyDiv w:val="1"/>
      <w:marLeft w:val="0"/>
      <w:marRight w:val="0"/>
      <w:marTop w:val="0"/>
      <w:marBottom w:val="0"/>
      <w:divBdr>
        <w:top w:val="none" w:sz="0" w:space="0" w:color="auto"/>
        <w:left w:val="none" w:sz="0" w:space="0" w:color="auto"/>
        <w:bottom w:val="none" w:sz="0" w:space="0" w:color="auto"/>
        <w:right w:val="none" w:sz="0" w:space="0" w:color="auto"/>
      </w:divBdr>
    </w:div>
    <w:div w:id="1492866859">
      <w:bodyDiv w:val="1"/>
      <w:marLeft w:val="0"/>
      <w:marRight w:val="0"/>
      <w:marTop w:val="0"/>
      <w:marBottom w:val="0"/>
      <w:divBdr>
        <w:top w:val="none" w:sz="0" w:space="0" w:color="auto"/>
        <w:left w:val="none" w:sz="0" w:space="0" w:color="auto"/>
        <w:bottom w:val="none" w:sz="0" w:space="0" w:color="auto"/>
        <w:right w:val="none" w:sz="0" w:space="0" w:color="auto"/>
      </w:divBdr>
    </w:div>
    <w:div w:id="1704672261">
      <w:bodyDiv w:val="1"/>
      <w:marLeft w:val="0"/>
      <w:marRight w:val="0"/>
      <w:marTop w:val="0"/>
      <w:marBottom w:val="0"/>
      <w:divBdr>
        <w:top w:val="none" w:sz="0" w:space="0" w:color="auto"/>
        <w:left w:val="none" w:sz="0" w:space="0" w:color="auto"/>
        <w:bottom w:val="none" w:sz="0" w:space="0" w:color="auto"/>
        <w:right w:val="none" w:sz="0" w:space="0" w:color="auto"/>
      </w:divBdr>
    </w:div>
    <w:div w:id="1708406125">
      <w:bodyDiv w:val="1"/>
      <w:marLeft w:val="0"/>
      <w:marRight w:val="0"/>
      <w:marTop w:val="0"/>
      <w:marBottom w:val="0"/>
      <w:divBdr>
        <w:top w:val="none" w:sz="0" w:space="0" w:color="auto"/>
        <w:left w:val="none" w:sz="0" w:space="0" w:color="auto"/>
        <w:bottom w:val="none" w:sz="0" w:space="0" w:color="auto"/>
        <w:right w:val="none" w:sz="0" w:space="0" w:color="auto"/>
      </w:divBdr>
      <w:divsChild>
        <w:div w:id="2073960596">
          <w:marLeft w:val="0"/>
          <w:marRight w:val="0"/>
          <w:marTop w:val="0"/>
          <w:marBottom w:val="0"/>
          <w:divBdr>
            <w:top w:val="none" w:sz="0" w:space="0" w:color="auto"/>
            <w:left w:val="none" w:sz="0" w:space="0" w:color="auto"/>
            <w:bottom w:val="none" w:sz="0" w:space="0" w:color="auto"/>
            <w:right w:val="none" w:sz="0" w:space="0" w:color="auto"/>
          </w:divBdr>
        </w:div>
      </w:divsChild>
    </w:div>
    <w:div w:id="1792018374">
      <w:bodyDiv w:val="1"/>
      <w:marLeft w:val="0"/>
      <w:marRight w:val="0"/>
      <w:marTop w:val="0"/>
      <w:marBottom w:val="0"/>
      <w:divBdr>
        <w:top w:val="none" w:sz="0" w:space="0" w:color="auto"/>
        <w:left w:val="none" w:sz="0" w:space="0" w:color="auto"/>
        <w:bottom w:val="none" w:sz="0" w:space="0" w:color="auto"/>
        <w:right w:val="none" w:sz="0" w:space="0" w:color="auto"/>
      </w:divBdr>
    </w:div>
    <w:div w:id="1803376913">
      <w:bodyDiv w:val="1"/>
      <w:marLeft w:val="0"/>
      <w:marRight w:val="0"/>
      <w:marTop w:val="0"/>
      <w:marBottom w:val="0"/>
      <w:divBdr>
        <w:top w:val="none" w:sz="0" w:space="0" w:color="auto"/>
        <w:left w:val="none" w:sz="0" w:space="0" w:color="auto"/>
        <w:bottom w:val="none" w:sz="0" w:space="0" w:color="auto"/>
        <w:right w:val="none" w:sz="0" w:space="0" w:color="auto"/>
      </w:divBdr>
    </w:div>
    <w:div w:id="1811897881">
      <w:bodyDiv w:val="1"/>
      <w:marLeft w:val="0"/>
      <w:marRight w:val="0"/>
      <w:marTop w:val="0"/>
      <w:marBottom w:val="0"/>
      <w:divBdr>
        <w:top w:val="none" w:sz="0" w:space="0" w:color="auto"/>
        <w:left w:val="none" w:sz="0" w:space="0" w:color="auto"/>
        <w:bottom w:val="none" w:sz="0" w:space="0" w:color="auto"/>
        <w:right w:val="none" w:sz="0" w:space="0" w:color="auto"/>
      </w:divBdr>
      <w:divsChild>
        <w:div w:id="444809169">
          <w:marLeft w:val="0"/>
          <w:marRight w:val="0"/>
          <w:marTop w:val="0"/>
          <w:marBottom w:val="0"/>
          <w:divBdr>
            <w:top w:val="none" w:sz="0" w:space="0" w:color="auto"/>
            <w:left w:val="none" w:sz="0" w:space="0" w:color="auto"/>
            <w:bottom w:val="none" w:sz="0" w:space="0" w:color="auto"/>
            <w:right w:val="none" w:sz="0" w:space="0" w:color="auto"/>
          </w:divBdr>
        </w:div>
      </w:divsChild>
    </w:div>
    <w:div w:id="1823499698">
      <w:bodyDiv w:val="1"/>
      <w:marLeft w:val="0"/>
      <w:marRight w:val="0"/>
      <w:marTop w:val="0"/>
      <w:marBottom w:val="0"/>
      <w:divBdr>
        <w:top w:val="none" w:sz="0" w:space="0" w:color="auto"/>
        <w:left w:val="none" w:sz="0" w:space="0" w:color="auto"/>
        <w:bottom w:val="none" w:sz="0" w:space="0" w:color="auto"/>
        <w:right w:val="none" w:sz="0" w:space="0" w:color="auto"/>
      </w:divBdr>
    </w:div>
    <w:div w:id="1854607992">
      <w:bodyDiv w:val="1"/>
      <w:marLeft w:val="0"/>
      <w:marRight w:val="0"/>
      <w:marTop w:val="0"/>
      <w:marBottom w:val="0"/>
      <w:divBdr>
        <w:top w:val="none" w:sz="0" w:space="0" w:color="auto"/>
        <w:left w:val="none" w:sz="0" w:space="0" w:color="auto"/>
        <w:bottom w:val="none" w:sz="0" w:space="0" w:color="auto"/>
        <w:right w:val="none" w:sz="0" w:space="0" w:color="auto"/>
      </w:divBdr>
      <w:divsChild>
        <w:div w:id="640310822">
          <w:marLeft w:val="0"/>
          <w:marRight w:val="0"/>
          <w:marTop w:val="0"/>
          <w:marBottom w:val="0"/>
          <w:divBdr>
            <w:top w:val="none" w:sz="0" w:space="0" w:color="auto"/>
            <w:left w:val="none" w:sz="0" w:space="0" w:color="auto"/>
            <w:bottom w:val="none" w:sz="0" w:space="0" w:color="auto"/>
            <w:right w:val="none" w:sz="0" w:space="0" w:color="auto"/>
          </w:divBdr>
          <w:divsChild>
            <w:div w:id="695540545">
              <w:marLeft w:val="0"/>
              <w:marRight w:val="0"/>
              <w:marTop w:val="0"/>
              <w:marBottom w:val="0"/>
              <w:divBdr>
                <w:top w:val="none" w:sz="0" w:space="0" w:color="auto"/>
                <w:left w:val="none" w:sz="0" w:space="0" w:color="auto"/>
                <w:bottom w:val="none" w:sz="0" w:space="0" w:color="auto"/>
                <w:right w:val="none" w:sz="0" w:space="0" w:color="auto"/>
              </w:divBdr>
              <w:divsChild>
                <w:div w:id="801730242">
                  <w:marLeft w:val="0"/>
                  <w:marRight w:val="0"/>
                  <w:marTop w:val="0"/>
                  <w:marBottom w:val="0"/>
                  <w:divBdr>
                    <w:top w:val="single" w:sz="6" w:space="0" w:color="CCCCCC"/>
                    <w:left w:val="single" w:sz="6" w:space="0" w:color="CCCCCC"/>
                    <w:bottom w:val="single" w:sz="6" w:space="0" w:color="CCCCCC"/>
                    <w:right w:val="single" w:sz="6" w:space="0" w:color="CCCCCC"/>
                  </w:divBdr>
                  <w:divsChild>
                    <w:div w:id="1881672312">
                      <w:marLeft w:val="0"/>
                      <w:marRight w:val="0"/>
                      <w:marTop w:val="0"/>
                      <w:marBottom w:val="0"/>
                      <w:divBdr>
                        <w:top w:val="none" w:sz="0" w:space="0" w:color="auto"/>
                        <w:left w:val="none" w:sz="0" w:space="0" w:color="auto"/>
                        <w:bottom w:val="none" w:sz="0" w:space="0" w:color="auto"/>
                        <w:right w:val="none" w:sz="0" w:space="0" w:color="auto"/>
                      </w:divBdr>
                      <w:divsChild>
                        <w:div w:id="986591772">
                          <w:marLeft w:val="0"/>
                          <w:marRight w:val="0"/>
                          <w:marTop w:val="0"/>
                          <w:marBottom w:val="0"/>
                          <w:divBdr>
                            <w:top w:val="none" w:sz="0" w:space="0" w:color="auto"/>
                            <w:left w:val="none" w:sz="0" w:space="0" w:color="auto"/>
                            <w:bottom w:val="none" w:sz="0" w:space="0" w:color="auto"/>
                            <w:right w:val="none" w:sz="0" w:space="0" w:color="auto"/>
                          </w:divBdr>
                          <w:divsChild>
                            <w:div w:id="1850481681">
                              <w:marLeft w:val="0"/>
                              <w:marRight w:val="0"/>
                              <w:marTop w:val="0"/>
                              <w:marBottom w:val="0"/>
                              <w:divBdr>
                                <w:top w:val="none" w:sz="0" w:space="0" w:color="auto"/>
                                <w:left w:val="none" w:sz="0" w:space="0" w:color="auto"/>
                                <w:bottom w:val="none" w:sz="0" w:space="0" w:color="auto"/>
                                <w:right w:val="none" w:sz="0" w:space="0" w:color="auto"/>
                              </w:divBdr>
                              <w:divsChild>
                                <w:div w:id="121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69583">
      <w:bodyDiv w:val="1"/>
      <w:marLeft w:val="0"/>
      <w:marRight w:val="0"/>
      <w:marTop w:val="0"/>
      <w:marBottom w:val="0"/>
      <w:divBdr>
        <w:top w:val="none" w:sz="0" w:space="0" w:color="auto"/>
        <w:left w:val="none" w:sz="0" w:space="0" w:color="auto"/>
        <w:bottom w:val="none" w:sz="0" w:space="0" w:color="auto"/>
        <w:right w:val="none" w:sz="0" w:space="0" w:color="auto"/>
      </w:divBdr>
    </w:div>
    <w:div w:id="2023776654">
      <w:bodyDiv w:val="1"/>
      <w:marLeft w:val="0"/>
      <w:marRight w:val="0"/>
      <w:marTop w:val="0"/>
      <w:marBottom w:val="0"/>
      <w:divBdr>
        <w:top w:val="none" w:sz="0" w:space="0" w:color="auto"/>
        <w:left w:val="none" w:sz="0" w:space="0" w:color="auto"/>
        <w:bottom w:val="none" w:sz="0" w:space="0" w:color="auto"/>
        <w:right w:val="none" w:sz="0" w:space="0" w:color="auto"/>
      </w:divBdr>
    </w:div>
    <w:div w:id="2050110032">
      <w:bodyDiv w:val="1"/>
      <w:marLeft w:val="0"/>
      <w:marRight w:val="0"/>
      <w:marTop w:val="0"/>
      <w:marBottom w:val="0"/>
      <w:divBdr>
        <w:top w:val="none" w:sz="0" w:space="0" w:color="auto"/>
        <w:left w:val="none" w:sz="0" w:space="0" w:color="auto"/>
        <w:bottom w:val="none" w:sz="0" w:space="0" w:color="auto"/>
        <w:right w:val="none" w:sz="0" w:space="0" w:color="auto"/>
      </w:divBdr>
      <w:divsChild>
        <w:div w:id="1765225425">
          <w:marLeft w:val="0"/>
          <w:marRight w:val="0"/>
          <w:marTop w:val="0"/>
          <w:marBottom w:val="0"/>
          <w:divBdr>
            <w:top w:val="none" w:sz="0" w:space="0" w:color="auto"/>
            <w:left w:val="none" w:sz="0" w:space="0" w:color="auto"/>
            <w:bottom w:val="none" w:sz="0" w:space="0" w:color="auto"/>
            <w:right w:val="none" w:sz="0" w:space="0" w:color="auto"/>
          </w:divBdr>
          <w:divsChild>
            <w:div w:id="1396854916">
              <w:marLeft w:val="0"/>
              <w:marRight w:val="0"/>
              <w:marTop w:val="0"/>
              <w:marBottom w:val="0"/>
              <w:divBdr>
                <w:top w:val="none" w:sz="0" w:space="0" w:color="auto"/>
                <w:left w:val="none" w:sz="0" w:space="0" w:color="auto"/>
                <w:bottom w:val="none" w:sz="0" w:space="0" w:color="auto"/>
                <w:right w:val="none" w:sz="0" w:space="0" w:color="auto"/>
              </w:divBdr>
              <w:divsChild>
                <w:div w:id="1136754582">
                  <w:marLeft w:val="0"/>
                  <w:marRight w:val="0"/>
                  <w:marTop w:val="0"/>
                  <w:marBottom w:val="0"/>
                  <w:divBdr>
                    <w:top w:val="single" w:sz="6" w:space="0" w:color="CCCCCC"/>
                    <w:left w:val="single" w:sz="6" w:space="0" w:color="CCCCCC"/>
                    <w:bottom w:val="single" w:sz="6" w:space="0" w:color="CCCCCC"/>
                    <w:right w:val="single" w:sz="6" w:space="0" w:color="CCCCCC"/>
                  </w:divBdr>
                  <w:divsChild>
                    <w:div w:id="20517104">
                      <w:marLeft w:val="0"/>
                      <w:marRight w:val="0"/>
                      <w:marTop w:val="0"/>
                      <w:marBottom w:val="0"/>
                      <w:divBdr>
                        <w:top w:val="none" w:sz="0" w:space="0" w:color="auto"/>
                        <w:left w:val="none" w:sz="0" w:space="0" w:color="auto"/>
                        <w:bottom w:val="none" w:sz="0" w:space="0" w:color="auto"/>
                        <w:right w:val="none" w:sz="0" w:space="0" w:color="auto"/>
                      </w:divBdr>
                      <w:divsChild>
                        <w:div w:id="1434206776">
                          <w:marLeft w:val="0"/>
                          <w:marRight w:val="0"/>
                          <w:marTop w:val="0"/>
                          <w:marBottom w:val="0"/>
                          <w:divBdr>
                            <w:top w:val="none" w:sz="0" w:space="0" w:color="auto"/>
                            <w:left w:val="none" w:sz="0" w:space="0" w:color="auto"/>
                            <w:bottom w:val="none" w:sz="0" w:space="0" w:color="auto"/>
                            <w:right w:val="none" w:sz="0" w:space="0" w:color="auto"/>
                          </w:divBdr>
                          <w:divsChild>
                            <w:div w:id="283931558">
                              <w:marLeft w:val="0"/>
                              <w:marRight w:val="0"/>
                              <w:marTop w:val="0"/>
                              <w:marBottom w:val="0"/>
                              <w:divBdr>
                                <w:top w:val="none" w:sz="0" w:space="0" w:color="auto"/>
                                <w:left w:val="none" w:sz="0" w:space="0" w:color="auto"/>
                                <w:bottom w:val="none" w:sz="0" w:space="0" w:color="auto"/>
                                <w:right w:val="none" w:sz="0" w:space="0" w:color="auto"/>
                              </w:divBdr>
                              <w:divsChild>
                                <w:div w:id="1082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58741">
      <w:bodyDiv w:val="1"/>
      <w:marLeft w:val="0"/>
      <w:marRight w:val="0"/>
      <w:marTop w:val="0"/>
      <w:marBottom w:val="0"/>
      <w:divBdr>
        <w:top w:val="none" w:sz="0" w:space="0" w:color="auto"/>
        <w:left w:val="none" w:sz="0" w:space="0" w:color="auto"/>
        <w:bottom w:val="none" w:sz="0" w:space="0" w:color="auto"/>
        <w:right w:val="none" w:sz="0" w:space="0" w:color="auto"/>
      </w:divBdr>
      <w:divsChild>
        <w:div w:id="385615509">
          <w:marLeft w:val="0"/>
          <w:marRight w:val="0"/>
          <w:marTop w:val="0"/>
          <w:marBottom w:val="0"/>
          <w:divBdr>
            <w:top w:val="none" w:sz="0" w:space="0" w:color="auto"/>
            <w:left w:val="none" w:sz="0" w:space="0" w:color="auto"/>
            <w:bottom w:val="none" w:sz="0" w:space="0" w:color="auto"/>
            <w:right w:val="none" w:sz="0" w:space="0" w:color="auto"/>
          </w:divBdr>
          <w:divsChild>
            <w:div w:id="1156720763">
              <w:marLeft w:val="0"/>
              <w:marRight w:val="0"/>
              <w:marTop w:val="0"/>
              <w:marBottom w:val="0"/>
              <w:divBdr>
                <w:top w:val="none" w:sz="0" w:space="0" w:color="auto"/>
                <w:left w:val="none" w:sz="0" w:space="0" w:color="auto"/>
                <w:bottom w:val="none" w:sz="0" w:space="0" w:color="auto"/>
                <w:right w:val="none" w:sz="0" w:space="0" w:color="auto"/>
              </w:divBdr>
              <w:divsChild>
                <w:div w:id="406457900">
                  <w:marLeft w:val="0"/>
                  <w:marRight w:val="0"/>
                  <w:marTop w:val="0"/>
                  <w:marBottom w:val="0"/>
                  <w:divBdr>
                    <w:top w:val="single" w:sz="6" w:space="0" w:color="CCCCCC"/>
                    <w:left w:val="single" w:sz="6" w:space="0" w:color="CCCCCC"/>
                    <w:bottom w:val="single" w:sz="6" w:space="0" w:color="CCCCCC"/>
                    <w:right w:val="single" w:sz="6" w:space="0" w:color="CCCCCC"/>
                  </w:divBdr>
                  <w:divsChild>
                    <w:div w:id="1744792781">
                      <w:marLeft w:val="0"/>
                      <w:marRight w:val="0"/>
                      <w:marTop w:val="0"/>
                      <w:marBottom w:val="0"/>
                      <w:divBdr>
                        <w:top w:val="none" w:sz="0" w:space="0" w:color="auto"/>
                        <w:left w:val="none" w:sz="0" w:space="0" w:color="auto"/>
                        <w:bottom w:val="none" w:sz="0" w:space="0" w:color="auto"/>
                        <w:right w:val="none" w:sz="0" w:space="0" w:color="auto"/>
                      </w:divBdr>
                      <w:divsChild>
                        <w:div w:id="249117519">
                          <w:marLeft w:val="0"/>
                          <w:marRight w:val="0"/>
                          <w:marTop w:val="0"/>
                          <w:marBottom w:val="0"/>
                          <w:divBdr>
                            <w:top w:val="none" w:sz="0" w:space="0" w:color="auto"/>
                            <w:left w:val="none" w:sz="0" w:space="0" w:color="auto"/>
                            <w:bottom w:val="none" w:sz="0" w:space="0" w:color="auto"/>
                            <w:right w:val="none" w:sz="0" w:space="0" w:color="auto"/>
                          </w:divBdr>
                          <w:divsChild>
                            <w:div w:id="52583334">
                              <w:marLeft w:val="0"/>
                              <w:marRight w:val="0"/>
                              <w:marTop w:val="0"/>
                              <w:marBottom w:val="0"/>
                              <w:divBdr>
                                <w:top w:val="none" w:sz="0" w:space="0" w:color="auto"/>
                                <w:left w:val="none" w:sz="0" w:space="0" w:color="auto"/>
                                <w:bottom w:val="none" w:sz="0" w:space="0" w:color="auto"/>
                                <w:right w:val="none" w:sz="0" w:space="0" w:color="auto"/>
                              </w:divBdr>
                              <w:divsChild>
                                <w:div w:id="1866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9343">
      <w:bodyDiv w:val="1"/>
      <w:marLeft w:val="0"/>
      <w:marRight w:val="0"/>
      <w:marTop w:val="0"/>
      <w:marBottom w:val="0"/>
      <w:divBdr>
        <w:top w:val="none" w:sz="0" w:space="0" w:color="auto"/>
        <w:left w:val="none" w:sz="0" w:space="0" w:color="auto"/>
        <w:bottom w:val="none" w:sz="0" w:space="0" w:color="auto"/>
        <w:right w:val="none" w:sz="0" w:space="0" w:color="auto"/>
      </w:divBdr>
      <w:divsChild>
        <w:div w:id="1615942385">
          <w:marLeft w:val="0"/>
          <w:marRight w:val="0"/>
          <w:marTop w:val="0"/>
          <w:marBottom w:val="0"/>
          <w:divBdr>
            <w:top w:val="none" w:sz="0" w:space="0" w:color="auto"/>
            <w:left w:val="none" w:sz="0" w:space="0" w:color="auto"/>
            <w:bottom w:val="none" w:sz="0" w:space="0" w:color="auto"/>
            <w:right w:val="none" w:sz="0" w:space="0" w:color="auto"/>
          </w:divBdr>
        </w:div>
      </w:divsChild>
    </w:div>
    <w:div w:id="21300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obe-statement.or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eta.inegi.org.mx/app/tabulados/pxweb/inicio.html?rxid=d518b312-a32e-4d23-a8dd-08a64c187a6c&amp;db=Poblacion&amp;px=poblacion_1" TargetMode="External"/><Relationship Id="rId4" Type="http://schemas.openxmlformats.org/officeDocument/2006/relationships/settings" Target="settings.xml"/><Relationship Id="rId9" Type="http://schemas.openxmlformats.org/officeDocument/2006/relationships/hyperlink" Target="http://apps.who.int/gho/data/node.imr.WHS10_9?lang=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2FA8C-B5E5-41BC-914C-5613B9979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11</Pages>
  <Words>3436</Words>
  <Characters>19590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22981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José Manuel Aburto</cp:lastModifiedBy>
  <cp:revision>29</cp:revision>
  <dcterms:created xsi:type="dcterms:W3CDTF">2018-05-03T03:52:00Z</dcterms:created>
  <dcterms:modified xsi:type="dcterms:W3CDTF">2018-05-15T12:19:00Z</dcterms:modified>
</cp:coreProperties>
</file>