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34.png" ContentType="image/png"/>
  <Override PartName="/word/media/rId43.png" ContentType="image/png"/>
  <Override PartName="/word/media/rId40.png" ContentType="image/png"/>
  <Override PartName="/word/media/rId36.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tribution-title"/>
      <w:bookmarkEnd w:id="21"/>
      <w:r>
        <w:t xml:space="preserve">Contribution Title</w:t>
      </w:r>
    </w:p>
    <w:p>
      <w:pPr>
        <w:pStyle w:val="FirstParagraph"/>
      </w:pPr>
      <w:r>
        <w:t xml:space="preserve">Mortality Modeling</w:t>
      </w:r>
    </w:p>
    <w:p>
      <w:pPr>
        <w:pStyle w:val="Heading1"/>
      </w:pPr>
      <w:bookmarkStart w:id="22" w:name="authors"/>
      <w:bookmarkEnd w:id="22"/>
      <w:r>
        <w:t xml:space="preserve">Authors</w:t>
      </w:r>
    </w:p>
    <w:p>
      <w:pPr>
        <w:pStyle w:val="Heading3"/>
      </w:pPr>
      <w:bookmarkStart w:id="23" w:name="tim-riffe"/>
      <w:bookmarkEnd w:id="23"/>
      <w:r>
        <w:t xml:space="preserve">Tim Riffe</w:t>
      </w:r>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4">
        <w:r>
          <w:rPr>
            <w:rStyle w:val="Hyperlink"/>
          </w:rPr>
          <w:t xml:space="preserve">riffe@demogr.mpg.de</w:t>
        </w:r>
      </w:hyperlink>
    </w:p>
    <w:p>
      <w:pPr>
        <w:pStyle w:val="Heading3"/>
      </w:pPr>
      <w:bookmarkStart w:id="25" w:name="marilia-nepomuceno"/>
      <w:bookmarkEnd w:id="25"/>
      <w:r>
        <w:t xml:space="preserve">Marília Nepomuceno</w:t>
      </w:r>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6">
        <w:r>
          <w:rPr>
            <w:rStyle w:val="Hyperlink"/>
          </w:rPr>
          <w:t xml:space="preserve">nepomuceno@demogr.mpg.de</w:t>
        </w:r>
      </w:hyperlink>
    </w:p>
    <w:p>
      <w:pPr>
        <w:pStyle w:val="Heading3"/>
      </w:pPr>
      <w:bookmarkStart w:id="27" w:name="ugofilippo-basellini"/>
      <w:bookmarkEnd w:id="27"/>
      <w:r>
        <w:t xml:space="preserve">Ugofilippo Basellini</w:t>
      </w:r>
    </w:p>
    <w:p>
      <w:pPr>
        <w:pStyle w:val="FirstParagraph"/>
      </w:pPr>
      <w:r>
        <w:t xml:space="preserve">PhD Researcher, Institut national d’études démographiques (INED), Paris, France and Interdisciplinary Centre on Population Dynamics (CPOP), Department of Public Health, University of Southern Denmark, Odense, Denmark</w:t>
      </w:r>
    </w:p>
    <w:p>
      <w:pPr>
        <w:pStyle w:val="BodyText"/>
      </w:pPr>
      <w:r>
        <w:t xml:space="preserve">Email:</w:t>
      </w:r>
      <w:r>
        <w:t xml:space="preserve"> </w:t>
      </w:r>
      <w:hyperlink r:id="rId28">
        <w:r>
          <w:rPr>
            <w:rStyle w:val="Hyperlink"/>
          </w:rPr>
          <w:t xml:space="preserve">ugofilippo.basellini@ined.fr</w:t>
        </w:r>
      </w:hyperlink>
    </w:p>
    <w:p>
      <w:pPr>
        <w:pStyle w:val="Heading1"/>
      </w:pPr>
      <w:bookmarkStart w:id="29" w:name="synonyms"/>
      <w:bookmarkEnd w:id="29"/>
      <w:r>
        <w:t xml:space="preserve">Synonyms</w:t>
      </w:r>
    </w:p>
    <w:p>
      <w:pPr>
        <w:pStyle w:val="FirstParagraph"/>
      </w:pPr>
      <w:r>
        <w:t xml:space="preserve">Mortality Laws</w:t>
      </w:r>
    </w:p>
    <w:p>
      <w:pPr>
        <w:pStyle w:val="Heading1"/>
      </w:pPr>
      <w:bookmarkStart w:id="30" w:name="definition"/>
      <w:bookmarkEnd w:id="30"/>
      <w:r>
        <w:t xml:space="preserve">Definition</w:t>
      </w:r>
    </w:p>
    <w:p>
      <w:pPr>
        <w:pStyle w:val="FirstParagraph"/>
      </w:pPr>
      <w:r>
        <w:t xml:space="preserve">Mortality models approximate mortality patterns or dynamics over age and time. An age pattern of mortality can be any mathematical function of mortality, such as rates, probabilities, survivorship, or death distributions. Such functions may be modeled in the form of a life table or a simplified model of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provisions, and (iii) those aimed at mortality measurement for purposes of mortality and health monitoring. In the following, mortality modeling refers to models of mortality measurement at the population level.</w:t>
      </w:r>
    </w:p>
    <w:p>
      <w:pPr>
        <w:pStyle w:val="Heading1"/>
      </w:pPr>
      <w:bookmarkStart w:id="31" w:name="overview"/>
      <w:bookmarkEnd w:id="31"/>
      <w:r>
        <w:t xml:space="preserve">Overview</w:t>
      </w:r>
    </w:p>
    <w:p>
      <w:pPr>
        <w:pStyle w:val="FirstParagraph"/>
      </w:pPr>
      <w:r>
        <w:t xml:space="preserve">Mortality modeling has mainly grown in its ability to capture mortality changes over age and time. The first who explicitly modeled mortality was</w:t>
      </w:r>
      <w:r>
        <w:t xml:space="preserve"> </w:t>
      </w:r>
      <w:r>
        <w:t xml:space="preserve">Graunt (1662)</w:t>
      </w:r>
      <w:r>
        <w:t xml:space="preserve">. The author, through an empirical life table, analyzed mortality conditions in London. From Graunt to date, models have become more sophisticated and complex.</w:t>
      </w:r>
    </w:p>
    <w:p>
      <w:pPr>
        <w:pStyle w:val="BodyText"/>
      </w:pPr>
      <w:r>
        <w:t xml:space="preserve">Before the 20th century, mortality models were often developed for insurance reasons. This justifies why models have grown in their accuracy to fit adult mortality. In 1825, Gompertz proposed one of the most well-known law of mortality. He theorized that adult mortality increases exponentially with age. Few decades later,</w:t>
      </w:r>
      <w:r>
        <w:t xml:space="preserve"> </w:t>
      </w:r>
      <w:r>
        <w:t xml:space="preserve">Makeham (1860)</w:t>
      </w:r>
      <w:r>
        <w:t xml:space="preserve"> </w:t>
      </w:r>
      <w:r>
        <w:t xml:space="preserve">suggested a modified version of the Gompertz model to improve its fit: in particular, he included an additional parameter to capture background mortality. However, the unprecedented mortality improvements in the 20th century experienced by much of the world have motivated the development of more complex models of mortality.</w:t>
      </w:r>
    </w:p>
    <w:p>
      <w:pPr>
        <w:pStyle w:val="BodyText"/>
      </w:pPr>
      <w:r>
        <w:t xml:space="preserve">The last century witnessed remarkable changes in patterns of health and disease. The leading causes of death shift from infectious and man-made to degenerative diseases</w:t>
      </w:r>
      <w:r>
        <w:t xml:space="preserve"> </w:t>
      </w:r>
      <w:r>
        <w:t xml:space="preserve">(Omran 1971)</w:t>
      </w:r>
      <w:r>
        <w:t xml:space="preserve">. A period dominated by changes in mortality among children and young adults moves towards to a period of changes in mortality at advanced ages. Overall, the focus of mortality modeling has been following this transition, and models that describe the entire age range has been developed. For instance, in 1980, Heligman and Pollard proposed a model by decomposing the age pattern of mortality into child, adult and old mortality. This model, in addition to cover the entire age range, it captures the accident hump in adulthood. [XXXXXX UB comment: I am not sure about this paragraphs. Models for the entire age pattern trace back to Thiele (1871), so I don’t like much the link with the epidemiological transition. My suggestion is to link the first part of this paragraph (until ..mortality at advanced ages) with the next one]</w:t>
      </w:r>
    </w:p>
    <w:p>
      <w:pPr>
        <w:pStyle w:val="BodyText"/>
      </w:pPr>
      <w:r>
        <w:t xml:space="preserve">The sustained improvements in mortality at advanced ages in most industrialized countries increased the need for accurate measurement of old-age mortality. Due to the very small number of survivors at the most advanced ages, and the scarce availability of accurate data for these individuals, modelling mortality at older ages is challenging. To date, logistic and exponential models has been used to describe the age pattern of mortality at very high ages. The first who proposed a logistic function to describe adult and old-age mortality was Perks</w:t>
      </w:r>
      <w:r>
        <w:t xml:space="preserve"> </w:t>
      </w:r>
      <w:r>
        <w:t xml:space="preserve">(1932)</w:t>
      </w:r>
      <w:r>
        <w:t xml:space="preserve">. Since then, Beard</w:t>
      </w:r>
      <w:r>
        <w:t xml:space="preserve"> </w:t>
      </w:r>
      <w:r>
        <w:t xml:space="preserve">(1971)</w:t>
      </w:r>
      <w:r>
        <w:t xml:space="preserve">, Kannisto</w:t>
      </w:r>
      <w:r>
        <w:t xml:space="preserve"> </w:t>
      </w:r>
      <w:r>
        <w:t xml:space="preserve">(1994)</w:t>
      </w:r>
      <w:r>
        <w:t xml:space="preserve">, and Thatcher et al.</w:t>
      </w:r>
      <w:r>
        <w:t xml:space="preserve"> </w:t>
      </w:r>
      <w:r>
        <w:t xml:space="preserve">(1998)</w:t>
      </w:r>
      <w:r>
        <w:t xml:space="preserve"> </w:t>
      </w:r>
      <w:r>
        <w:t xml:space="preserve">also theorized a slower rate of mortality increase at very old ages.</w:t>
      </w:r>
    </w:p>
    <w:p>
      <w:pPr>
        <w:pStyle w:val="BodyText"/>
      </w:pPr>
      <w:r>
        <w:t xml:space="preserve">Over the centuries, theoretical models have often described the force of mortality (link to entry). From these models, one can derive several mortality functions such as the lifespan and the number of survivors at different ages. Thus, the ability of mortality models to reflect the dynamics of mortality has great implications in measures widely used for monitoring health. For example, the life expectancy at birth, which summarizes the risk of death over the entire age range, reflects the age-specific pattern of mortality implicit in the theoretical model. Higher life expectancy would derive from a logistic model (slower rate of mortality increase at advanced ages) compared to that derived from a model that assumes exponential mortality increase at older ages.</w:t>
      </w:r>
    </w:p>
    <w:p>
      <w:pPr>
        <w:pStyle w:val="BodyText"/>
      </w:pPr>
      <w:r>
        <w:t xml:space="preserve">Mortality modeling is also important to forecast mortality. Most methods of mortality forecasting extrapolate both age patterns and trends over time. Extrapolative methods may also use summary mortality measures, such as life expectancy. Whether based on aggregate or age-specific mortality measures, extrapolative methods employ a mortality model, as described by a life table or a mathematical function. For example, the Lee-Carter method</w:t>
      </w:r>
      <w:r>
        <w:t xml:space="preserve"> </w:t>
      </w:r>
      <w:r>
        <w:t xml:space="preserve">(1992)</w:t>
      </w:r>
      <w:r>
        <w:t xml:space="preserve"> </w:t>
      </w:r>
      <w:r>
        <w:t xml:space="preserve">is a widely used extrapolative method to forecast mortality.</w:t>
      </w:r>
    </w:p>
    <w:p>
      <w:pPr>
        <w:pStyle w:val="BodyText"/>
      </w:pPr>
      <w:r>
        <w:t xml:space="preserve">The evolution of mortality models moves towards a better description of the age patterns of mortality. This process has the major advantage of producing accurate aggregate mortality measures, realistic figures of the mortality future, and better understanding of the mechanisms behind changes in the age-pattern of mortality.</w:t>
      </w:r>
    </w:p>
    <w:p>
      <w:pPr>
        <w:pStyle w:val="Heading1"/>
      </w:pPr>
      <w:bookmarkStart w:id="32" w:name="key-research-findings"/>
      <w:bookmarkEnd w:id="32"/>
      <w:r>
        <w:t xml:space="preserve">Key Research Findings</w:t>
      </w:r>
    </w:p>
    <w:p>
      <w:pPr>
        <w:pStyle w:val="FirstParagraph"/>
      </w:pPr>
      <w:r>
        <w:t xml:space="preserve">This section contains an overview of some key findings that have been made in mortality modeling over the last centuries.</w:t>
      </w:r>
    </w:p>
    <w:p>
      <w:pPr>
        <w:pStyle w:val="Heading3"/>
      </w:pPr>
      <w:bookmarkStart w:id="33" w:name="gompertz-law"/>
      <w:bookmarkEnd w:id="33"/>
      <w:r>
        <w:t xml:space="preserve">Gompertz law</w:t>
      </w:r>
    </w:p>
    <w:p>
      <w:pPr>
        <w:pStyle w:val="FirstParagraph"/>
      </w:pPr>
      <w:r>
        <w:t xml:space="preserve">One of the most important contributions to modeling mortality traces back to almost two centuries ago. The British mathematician and actuary Benjamin Gompertz</w:t>
      </w:r>
      <w:r>
        <w:t xml:space="preserve"> </w:t>
      </w:r>
      <w:r>
        <w:t xml:space="preserve">(1825)</w:t>
      </w:r>
      <w:r>
        <w:t xml:space="preserve"> </w:t>
      </w:r>
      <w:r>
        <w:t xml:space="preserve">theorized that the adult age-pattern of the force of mortality increases exponentially with age. This assumption has proven to be a pretty accurate representation of the mortality pattern of several populations throughout the last two centuries. As such, the Gompertz law of mortality is today one of the most well-known models of human mortality, and it is still widely employed in demographic and actuarial analyses. The first panel of Fig</w:t>
      </w:r>
      <w:r>
        <w:t xml:space="preserve"> </w:t>
      </w:r>
      <w:r>
        <w:t xml:space="preserve">1</w:t>
      </w:r>
      <w:r>
        <w:t xml:space="preserve"> </w:t>
      </w:r>
      <w:r>
        <w:t xml:space="preserve">[XXXX UB comment: Tim, are we having one multi-panel figures or separate figures? If the second, need to reprhrase this to simply Figure 1] shows the fit of the Gompertz model to the male population of Switzerland in 2010, data obtained from the Human Mortality Database</w:t>
      </w:r>
      <w:r>
        <w:t xml:space="preserve"> </w:t>
      </w:r>
      <w:r>
        <w:t xml:space="preserve">(2018)</w:t>
      </w:r>
      <w:r>
        <w:t xml:space="preserve">. As the graph shows, the assumption of exponential (linear in log scale) increase of mortality with age is a good representation of the human mortality pattern.</w:t>
      </w:r>
    </w:p>
    <w:p>
      <w:pPr>
        <w:pStyle w:val="FigureWithCaption"/>
      </w:pPr>
      <w:r>
        <w:drawing>
          <wp:inline>
            <wp:extent cx="5486400" cy="5486400"/>
            <wp:effectExtent b="0" l="0" r="0" t="0"/>
            <wp:docPr descr="Figure 1 Observed and fitted death rates using a log-linear (Gompertz) model for males aged 40 to 100 in Switzerland in the year 2010."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using a log-linear (Gompertz) model for males aged 40 to 100 in Switzerland in the year 2010.</w:t>
      </w:r>
    </w:p>
    <w:p>
      <w:pPr>
        <w:pStyle w:val="Heading3"/>
      </w:pPr>
      <w:bookmarkStart w:id="35" w:name="negative-senescence-and-hump"/>
      <w:bookmarkEnd w:id="35"/>
      <w:r>
        <w:t xml:space="preserve">Negative senescence and hump</w:t>
      </w:r>
    </w:p>
    <w:p>
      <w:pPr>
        <w:pStyle w:val="FirstParagraph"/>
      </w:pPr>
      <w:r>
        <w:t xml:space="preserve">Another key finding regarding the age-pattern of mortality was described a few years after Gompertz. In 1871, the Danish astronomer and actuary Thorvald Thiele introduced the decomposition of the human mortality pattern into three groups that operate principally, or almost exclusively, upon childhood, middle, and old ages, respectively. These three components of mortality represent the risk of death at different times in life, and they have been observed to follow a stable pattern throughout history. The first component represents infant and child mortality, which decreases steadily with age, with a sharp reduction after birth. The second component, known as the accident hump for its particular shape, describes mortality after the onset of puberty and stretching into younger adult ages. Specifically, the component captures the accident deaths due to the risk-taking behavior of young men and, historically, mortality related to childbearing in women. Finally, the third component is generally denoted as senescent mortality, which was Gompertz’s centre of attention. As noted above, the component starts at middle-adult ages and increases exponentially with age. Several parametric and non-parametric approaches have been proposed in the last few decades to decompose the human mortality pattern. The second panel of Fig.</w:t>
      </w:r>
      <w:r>
        <w:t xml:space="preserve"> </w:t>
      </w:r>
      <w:r>
        <w:t xml:space="preserve">2</w:t>
      </w:r>
      <w:r>
        <w:t xml:space="preserve"> </w:t>
      </w:r>
      <w:r>
        <w:t xml:space="preserve">[XXXX UB comment: Tim, are we having one multi-panel figures or separate figures? If the second, need to reprhrase this to simply Figure 2] shows the decomposition obtained by the non-parametric SSE model of</w:t>
      </w:r>
      <w:r>
        <w:t xml:space="preserve"> </w:t>
      </w:r>
      <w:r>
        <w:t xml:space="preserve">Camarda et al. (2016)</w:t>
      </w:r>
      <w:r>
        <w:t xml:space="preserve">, applied to the same population of Fig</w:t>
      </w:r>
      <w:r>
        <w:t xml:space="preserve"> </w:t>
      </w:r>
      <w:r>
        <w:t xml:space="preserve">1</w:t>
      </w:r>
      <w:r>
        <w:t xml:space="preserve">. The three components of mortality clearly emerge from the graph.</w:t>
      </w:r>
    </w:p>
    <w:p>
      <w:pPr>
        <w:pStyle w:val="FigureWithCaption"/>
      </w:pPr>
      <w:r>
        <w:drawing>
          <wp:inline>
            <wp:extent cx="5486400" cy="5486400"/>
            <wp:effectExtent b="0" l="0" r="0" t="0"/>
            <wp:docPr descr="Figure 2 decomposition of the observed death rates into infant, young adult excess, and senescent components for males in Switzerland in the year 2010."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decomposition of the observed death rates into infant, young adult excess, and senescent components for males in Switzerland in the year 2010.</w:t>
      </w:r>
    </w:p>
    <w:p>
      <w:pPr>
        <w:pStyle w:val="Heading3"/>
      </w:pPr>
      <w:bookmarkStart w:id="37" w:name="debate-on-plateau"/>
      <w:bookmarkEnd w:id="37"/>
      <w:r>
        <w:t xml:space="preserve">Debate on plateau</w:t>
      </w:r>
    </w:p>
    <w:p>
      <w:pPr>
        <w:pStyle w:val="FirstParagraph"/>
      </w:pPr>
      <w:r>
        <w:t xml:space="preserve">There is a general agreement that mortality increases exponentially from mid-adult to ages 80-90, as described by the Gompertz law. However, there is not yet a consensus regarding the mortality trajectory at the most advanced ages. Some studies suggested that the exponential growth of mortality with age is followed by a period of deceleration, with slower rates of mortality increase at the oldest ages, creating a plateau of human mortality (</w:t>
      </w:r>
      <w:r>
        <w:t xml:space="preserve">Barbi et al. (2018)</w:t>
      </w:r>
      <w:r>
        <w:t xml:space="preserve">, Gampe 2010; Robine and Vaupel 2001; Robine et al. 2005). Another group of researchers claimed that the mortality deceleration in later life or the mortality plateau is more expressed for data with lower quality, and hence mortality continues to grow exponentially at the highest ages (Gavirilov and Gavirilova 2011, 2015, 2019). Logistic curves like Kannisto</w:t>
      </w:r>
      <w:r>
        <w:t xml:space="preserve"> </w:t>
      </w:r>
      <w:r>
        <w:t xml:space="preserve">(1994)</w:t>
      </w:r>
      <w:r>
        <w:t xml:space="preserve">, Beard</w:t>
      </w:r>
      <w:r>
        <w:t xml:space="preserve"> </w:t>
      </w:r>
      <w:r>
        <w:t xml:space="preserve">(1971)</w:t>
      </w:r>
      <w:r>
        <w:t xml:space="preserve"> </w:t>
      </w:r>
      <w:r>
        <w:t xml:space="preserve">and Perks</w:t>
      </w:r>
      <w:r>
        <w:t xml:space="preserve"> </w:t>
      </w:r>
      <w:r>
        <w:t xml:space="preserve">(1932)</w:t>
      </w:r>
      <w:r>
        <w:t xml:space="preserve"> </w:t>
      </w:r>
      <w:r>
        <w:t xml:space="preserve">model the mortality plateau, while the Gompertz law rises exponentially with age.</w:t>
      </w:r>
    </w:p>
    <w:p>
      <w:pPr>
        <w:pStyle w:val="Heading3"/>
      </w:pPr>
      <w:bookmarkStart w:id="38" w:name="rectangularization"/>
      <w:bookmarkEnd w:id="38"/>
      <w:r>
        <w:t xml:space="preserve">Rectangularization</w:t>
      </w:r>
    </w:p>
    <w:p>
      <w:pPr>
        <w:pStyle w:val="FirstParagraph"/>
      </w:pPr>
      <w:r>
        <w:t xml:space="preserve">Rectangularization is defined by the process during which the shape of the survival curve becomes more rectangular due to reductions in premature mortality and the concentration of deaths at older ages. In 1980, James Fries claimed that the rectangularization occurs when life expectancy at birth approaches the upper limit of human lifespan due to a decrease in variability in age-at-death (Fries 1980). In other words, when lifespan variability decreases, deaths are compressed at older ages. However, since the second half of the twentieth century, lifespan variability has been stagnating and life expectancy continued to increase in high-income countries, resulting in a process known as mortality shifting (Kannisto 1996; Boongarts 2005; Bergeron-Boucher et al. 2015). Mortality shifting occurs when life expectancy increases due to a shift in the death distribution toward older ages with nearly constant lifespan variability (Vaupel 1986, Yashin et al. 2001, Bongaarts 2005, Canudas-Romo 2008).</w:t>
      </w:r>
    </w:p>
    <w:p>
      <w:pPr>
        <w:pStyle w:val="Heading3"/>
      </w:pPr>
      <w:bookmarkStart w:id="39" w:name="oeppen-vaupel-line"/>
      <w:bookmarkEnd w:id="39"/>
      <w:r>
        <w:t xml:space="preserve">Oeppen-Vaupel line</w:t>
      </w:r>
    </w:p>
    <w:p>
      <w:pPr>
        <w:pStyle w:val="FirstParagraph"/>
      </w:pPr>
      <w:r>
        <w:t xml:space="preserve">Oeppen and Vaupel</w:t>
      </w:r>
      <w:r>
        <w:t xml:space="preserve"> </w:t>
      </w:r>
      <w:r>
        <w:t xml:space="preserve">(2002)</w:t>
      </w:r>
      <w:r>
        <w:t xml:space="preserve"> </w:t>
      </w:r>
      <w:r>
        <w:t xml:space="preserve">showed one of the most striking regularities observed in human mortality during the last centuries: the highest level of observed life expectancy has been rising at a steady pace of almost 3 months per year during the last 160 years. The authors analyzed the evolution of the female best-practice life expectancy at birth (that is, the life expectancy of the country holding the highest level in the whole world in a given calendar year) from 1840 to 2000, finding a linear trend that increased at a steady pace of almost 3 months per year during the last 160 years. Fig.</w:t>
      </w:r>
      <w:r>
        <w:t xml:space="preserve"> </w:t>
      </w:r>
      <w:r>
        <w:t xml:space="preserve">3</w:t>
      </w:r>
      <w:r>
        <w:t xml:space="preserve"> </w:t>
      </w:r>
      <w:r>
        <w:t xml:space="preserve">shows this remarkable finding, which has had direct implications in a number of spheres, for example, mortality forecasting. The best-practice line has indeed been employed in some forecasting methodologies (</w:t>
      </w:r>
      <w:r>
        <w:t xml:space="preserve">Torri and Vaupel (2012)</w:t>
      </w:r>
      <w:r>
        <w:t xml:space="preserve">,</w:t>
      </w:r>
      <w:r>
        <w:t xml:space="preserve"> </w:t>
      </w:r>
      <w:r>
        <w:t xml:space="preserve">Pascariu et al. (2018)</w:t>
      </w:r>
      <w:r>
        <w:t xml:space="preserve">).</w:t>
      </w:r>
    </w:p>
    <w:p>
      <w:pPr>
        <w:pStyle w:val="FigureWithCaption"/>
      </w:pPr>
      <w:r>
        <w:drawing>
          <wp:inline>
            <wp:extent cx="5486400" cy="5486400"/>
            <wp:effectExtent b="0" l="0" r="0" t="0"/>
            <wp:docPr descr="Figure 3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40"/>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Best-practice female life expectancy at birth from 1840 to 2016. data: HMD.</w:t>
      </w:r>
    </w:p>
    <w:p>
      <w:pPr>
        <w:pStyle w:val="Heading1"/>
      </w:pPr>
      <w:bookmarkStart w:id="41" w:name="examples-of-application"/>
      <w:bookmarkEnd w:id="41"/>
      <w:r>
        <w:t xml:space="preserve">Examples of Application</w:t>
      </w:r>
    </w:p>
    <w:p>
      <w:pPr>
        <w:pStyle w:val="Heading3"/>
      </w:pPr>
      <w:bookmarkStart w:id="42" w:name="model-lifetables"/>
      <w:bookmarkEnd w:id="42"/>
      <w:r>
        <w:t xml:space="preserve">Model lifetables</w:t>
      </w:r>
    </w:p>
    <w:p>
      <w:pPr>
        <w:pStyle w:val="FirstParagraph"/>
      </w:pPr>
      <w:r>
        <w:t xml:space="preserve">Model lifetables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lifetables into a smaller set of relationships that when scaled and warped according to a small number of (usually) intuitive parameters. [XXXXXX UB comment: Tim, I didn’t understand well this last sentence, seems like a subject is missing at the end of the sentence]</w:t>
      </w:r>
    </w:p>
    <w:p>
      <w:pPr>
        <w:pStyle w:val="FigureWithCaption"/>
      </w:pPr>
      <w:r>
        <w:drawing>
          <wp:inline>
            <wp:extent cx="5486400" cy="5486400"/>
            <wp:effectExtent b="0" l="0" r="0" t="0"/>
            <wp:docPr descr="Figure 4 A demonstration of some of the flexibility given in the Wilmoth et al (2012) model lifetable approach. A standard is derived from HMD male lifetables. From this, nine different survivorships are derived from combinations of specified child and adult mortality. Three levels of child mortality (0.01,0.05,0.10) are paired with three levels of relative adult mortality, 1.5, 2.5, and 5.0 times higher than the given child mortality estimate, respectively."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A demonstration of some of the flexibility given in the Wilmoth et al (2012) model lifetable approach. A standard is derived from HMD male lifetables. From this, nine different survivorships are derived from combinations of specified child and adult mortality. Three levels of child mortality (0.01,0.05,0.10) are paired with three levels of relative adult mortality, 1.5, 2.5, and 5.0 times higher than the given child mortality estimate, respectively.</w:t>
      </w:r>
    </w:p>
    <w:p>
      <w:pPr>
        <w:pStyle w:val="BodyText"/>
      </w:pPr>
      <w:r>
        <w:t xml:space="preserve">Fig.</w:t>
      </w:r>
      <w:r>
        <w:t xml:space="preserve"> </w:t>
      </w:r>
      <w:r>
        <w:t xml:space="preserve">4</w:t>
      </w:r>
      <w:r>
        <w:t xml:space="preserve"> </w:t>
      </w:r>
      <w:r>
        <w:t xml:space="preserve">demonstrates the flexibility that most model systems can achieve, in this case using the Wilmoth et al approach</w:t>
      </w:r>
      <w:r>
        <w:t xml:space="preserve"> </w:t>
      </w:r>
      <w:r>
        <w:t xml:space="preserve">(2012)</w:t>
      </w:r>
      <w:r>
        <w:t xml:space="preserve">, where the standard mortality pattern is derived from male lifetables in the Human Mortality Database</w:t>
      </w:r>
      <w:r>
        <w:t xml:space="preserve"> </w:t>
      </w:r>
      <w:r>
        <w:t xml:space="preserve">(2018)</w:t>
      </w:r>
      <w:r>
        <w:t xml:space="preserve">. Results are calculated using the MortalityEstimate R package</w:t>
      </w:r>
      <w:r>
        <w:t xml:space="preserve"> </w:t>
      </w:r>
      <w:r>
        <w:t xml:space="preserve">(Pascariu et al. 2019)</w:t>
      </w:r>
      <w:r>
        <w:t xml:space="preserve">. In practice the standard could be derived from any corpus of lifetables. The standard is then adjusted according to specified estimates of child and adult mortality. Child mortality is defined as the probability of not reaching age 5, and adult mortality is here defined as the probability of a 15-year-old not reaching age 65.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lifetables such as that demonstrated can 1) extend the geographical range of research to populations not usually included in research due to data limitations, 2) extend estimation to subpopulations for which complete lifetables cannot be directly calculated, 3) systematize the relationship between mortality in different age groups to infer older age mortality from younger ages when older ages are not directly observed (compare with extrapolation using parametric mortality laws).</w:t>
      </w:r>
    </w:p>
    <w:p>
      <w:pPr>
        <w:pStyle w:val="Heading3"/>
      </w:pPr>
      <w:bookmarkStart w:id="44" w:name="extrapolation-and-smoothing"/>
      <w:bookmarkEnd w:id="44"/>
      <w:r>
        <w:t xml:space="preserve">Extrapolation and smoothing</w:t>
      </w:r>
    </w:p>
    <w:p>
      <w:pPr>
        <w:pStyle w:val="FirstParagraph"/>
      </w:pPr>
      <w:r>
        <w:t xml:space="preserve">The Human Mortality Database (HMD) uses a parametric procedure to smooth old-age death rates in period life tables. Specifically, the Kannisto model of old-age mortality</w:t>
      </w:r>
      <w:r>
        <w:t xml:space="preserve"> </w:t>
      </w:r>
      <w:r>
        <w:t xml:space="preserve">(1994)</w:t>
      </w:r>
      <w:r>
        <w:t xml:space="preserve"> </w:t>
      </w:r>
      <w:r>
        <w:t xml:space="preserve">is used to remove the randomness inherent to the observed rates at older ages, thus obtaining</w:t>
      </w:r>
      <w:r>
        <w:t xml:space="preserve"> </w:t>
      </w:r>
      <w:r>
        <w:t xml:space="preserve">“</w:t>
      </w:r>
      <w:r>
        <w:t xml:space="preserve">an improved representation of the underlying mortality conditions</w:t>
      </w:r>
      <w:r>
        <w:t xml:space="preserve">”</w:t>
      </w:r>
      <w:r>
        <w:t xml:space="preserve"> </w:t>
      </w:r>
      <w:r>
        <w:t xml:space="preserve">(Wilmoth et al. 2017, p. 34)</w:t>
      </w:r>
      <w:r>
        <w:t xml:space="preserve">. The model is fitted to ages 80 and above, separately for males and females, assuming a Poisson distribution for death counts. The estimated parameters yields smooth death rates, which are used to replace the observed rates for all ages above age</w:t>
      </w:r>
      <w:r>
        <w:t xml:space="preserve"> </w:t>
      </w:r>
      <m:oMath>
        <m:r>
          <m:t>ψ</m:t>
        </m:r>
      </m:oMath>
      <w:r>
        <w:t xml:space="preserve"> </w:t>
      </w:r>
      <w:r>
        <w:t xml:space="preserve">. In particular,</w:t>
      </w:r>
      <w:r>
        <w:t xml:space="preserve"> </w:t>
      </w:r>
      <m:oMath>
        <m:r>
          <m:t>ψ</m:t>
        </m:r>
      </m:oMath>
      <w:r>
        <w:t xml:space="preserve"> </w:t>
      </w:r>
      <w:r>
        <w:t xml:space="preserve">is defined as the lowest age where there are at most 100 deaths (male or female), but it is constrained to fall within the age interval [80, 95] (for additional information, see</w:t>
      </w:r>
      <w:r>
        <w:t xml:space="preserve"> </w:t>
      </w:r>
      <w:r>
        <w:t xml:space="preserve">Wilmoth et al. (2017)</w:t>
      </w:r>
      <w:r>
        <w:t xml:space="preserve">).</w:t>
      </w:r>
    </w:p>
    <w:p>
      <w:pPr>
        <w:pStyle w:val="FigureWithCaption"/>
      </w:pPr>
      <w:r>
        <w:drawing>
          <wp:inline>
            <wp:extent cx="5486400" cy="5486400"/>
            <wp:effectExtent b="0" l="0" r="0" t="0"/>
            <wp:docPr descr="Figure 5 Observed and life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Observed and lifetable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The right panel of Fig.</w:t>
      </w:r>
      <w:r>
        <w:t xml:space="preserve"> </w:t>
      </w:r>
      <w:r>
        <w:t xml:space="preserve">5</w:t>
      </w:r>
      <w:r>
        <w:t xml:space="preserve"> </w:t>
      </w:r>
      <w:r>
        <w:t xml:space="preserve">shows an example of this procedure. This figure shows the observed and lifetable death rates for females in England and Wales in 2010 (HMD). The two rates depart from each other after age 95 (which is age</w:t>
      </w:r>
      <w:r>
        <w:t xml:space="preserve"> </w:t>
      </w:r>
      <m:oMath>
        <m:r>
          <m:t>ψ</m:t>
        </m:r>
      </m:oMath>
      <w:r>
        <w:t xml:space="preserve"> </w:t>
      </w:r>
      <w:r>
        <w:t xml:space="preserve">for this population, as less than 100 deaths were observed from the age-group 106). In particular, the life table death rates are derived from the Kannisto mortality model, as discussed above. In addition, three other well-known models of mortality to this population: the Gompertz, the Weibull and the Gamma-Gompertz model. The fitted lines show that the Gamma-Gompertz model produces estimates that are very close to the Kannisto model, while the Gompertz and Weibull model overestimate the observed pattern of mortality at the highest ages.</w:t>
      </w:r>
    </w:p>
    <w:p>
      <w:pPr>
        <w:pStyle w:val="Heading1"/>
      </w:pPr>
      <w:bookmarkStart w:id="46" w:name="future-directions-of-research"/>
      <w:bookmarkEnd w:id="46"/>
      <w:r>
        <w:t xml:space="preserve">Future Directions of Research</w:t>
      </w:r>
    </w:p>
    <w:p>
      <w:pPr>
        <w:pStyle w:val="FirstParagraph"/>
      </w:pPr>
      <w:r>
        <w:t xml:space="preserve">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7" w:name="limits-to-life-and-the-mortality-plateau"/>
      <w:bookmarkEnd w:id="47"/>
      <w:r>
        <w:t xml:space="preserve">Limits to life and the mortality plateau</w:t>
      </w:r>
    </w:p>
    <w:p>
      <w:pPr>
        <w:pStyle w:val="FirstParagraph"/>
      </w:pPr>
      <w:r>
        <w:t xml:space="preserve">The scientific community is far from reaching a consensus on whether and in what way the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w:t>
      </w:r>
      <w:r>
        <w:t xml:space="preserve">. In the coming decades the increased amount of data on the longest lived will be able to provide more nuance to the question of whether or not and at what level mortality levels off in old age, and ideally lead to a consensus between disciplines on the character of mortality among the extremely longevous.</w:t>
      </w:r>
    </w:p>
    <w:p>
      <w:pPr>
        <w:pStyle w:val="Heading3"/>
      </w:pPr>
      <w:bookmarkStart w:id="48" w:name="new-population-definitions"/>
      <w:bookmarkEnd w:id="48"/>
      <w:r>
        <w:t xml:space="preserve">New population definitions</w:t>
      </w:r>
    </w:p>
    <w:p>
      <w:pPr>
        <w:pStyle w:val="FirstParagraph"/>
      </w:pPr>
      <w:r>
        <w:t xml:space="preserve">Many methods to harmonize mortality estimation from diverse sources and to make deficient or incomplete vital register data more usable in standard lifetable applications [XXXXX UB comment: isn’t there a missing verb here? Like</w:t>
      </w:r>
      <w:r>
        <w:t xml:space="preserve"> </w:t>
      </w:r>
      <w:r>
        <w:t xml:space="preserve">“</w:t>
      </w:r>
      <w:r>
        <w:t xml:space="preserve">may methods AIM to …</w:t>
      </w:r>
      <w:r>
        <w:t xml:space="preserve">”</w:t>
      </w:r>
      <w:r>
        <w:t xml:space="preserve">].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49" w:name="coherent-modeling"/>
      <w:bookmarkEnd w:id="49"/>
      <w:r>
        <w:t xml:space="preserve">Coherent modeling</w:t>
      </w:r>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 or when smoothing mortality jointly by cause of death. Such operations would also benefit from standard solutions.</w:t>
      </w:r>
    </w:p>
    <w:p>
      <w:pPr>
        <w:pStyle w:val="Heading3"/>
      </w:pPr>
      <w:bookmarkStart w:id="50" w:name="lifespan-inequality"/>
      <w:bookmarkEnd w:id="50"/>
      <w:r>
        <w:t xml:space="preserve">Lifespan inequality</w:t>
      </w:r>
    </w:p>
    <w:p>
      <w:pPr>
        <w:pStyle w:val="FirstParagraph"/>
      </w:pPr>
      <w:r>
        <w:t xml:space="preserve">Most mortality research has been focused on life expectancy, or average length of life as the primary lifetable outcome, but recent research highlights the necessity of estimating and monitoring lifespan uncertainty as a primary indicator of population health status, and as a fundamental kind of population inequality</w:t>
      </w:r>
      <w:r>
        <w:t xml:space="preserve"> </w:t>
      </w:r>
      <w:r>
        <w:t xml:space="preserve">(Raalte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1" w:name="model-translation"/>
      <w:bookmarkEnd w:id="51"/>
      <w:r>
        <w:t xml:space="preserve">Model translation</w:t>
      </w:r>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2" w:name="summary"/>
      <w:bookmarkEnd w:id="52"/>
      <w:r>
        <w:t xml:space="preserve">Summary</w:t>
      </w:r>
    </w:p>
    <w:p>
      <w:pPr>
        <w:pStyle w:val="Heading1"/>
      </w:pPr>
      <w:bookmarkStart w:id="53" w:name="cross-references"/>
      <w:bookmarkEnd w:id="53"/>
      <w:r>
        <w:t xml:space="preserve">Cross references</w:t>
      </w:r>
    </w:p>
    <w:p>
      <w:pPr>
        <w:pStyle w:val="Heading1"/>
      </w:pPr>
      <w:bookmarkStart w:id="54" w:name="references"/>
      <w:bookmarkEnd w:id="54"/>
      <w:r>
        <w:t xml:space="preserve">References</w:t>
      </w:r>
    </w:p>
    <w:p>
      <w:pPr>
        <w:pStyle w:val="Bibliography"/>
      </w:pPr>
      <w:r>
        <w:t xml:space="preserve">Barbi E, Lagona F, Marsili M et al (2018) The plateau of human mortality: Demography of longevity pioneers. Science 360:1459–1461</w:t>
      </w:r>
    </w:p>
    <w:p>
      <w:pPr>
        <w:pStyle w:val="Bibliography"/>
      </w:pPr>
      <w:r>
        <w:t xml:space="preserve">Beard R (1971) Biological aspects of demography. In: Brass W (ed). Taylor &amp; Francis Ltd, pp 57–68</w:t>
      </w:r>
    </w:p>
    <w:p>
      <w:pPr>
        <w:pStyle w:val="Bibliography"/>
      </w:pPr>
      <w:r>
        <w:t xml:space="preserve">Bohk-Ewald C, Ebeling M, Rau R (2017) Lifespan disparity as an additional indicator for evaluating mortality forecasts. Demography 54:1559–1577</w:t>
      </w:r>
    </w:p>
    <w:p>
      <w:pPr>
        <w:pStyle w:val="Bibliography"/>
      </w:pPr>
      <w:r>
        <w:t xml:space="preserve">Camarda CG, Eilers PH, Gampe J (2016) Sums of smooth exponentials to decompose complex series of counts. Statistical Modelling 16:279–296</w:t>
      </w:r>
    </w:p>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55">
        <w:r>
          <w:rPr>
            <w:rStyle w:val="Hyperlink"/>
          </w:rPr>
          <w:t xml:space="preserve">arXiv:1504.02057</w:t>
        </w:r>
      </w:hyperlink>
    </w:p>
    <w:p>
      <w:pPr>
        <w:pStyle w:val="Bibliography"/>
      </w:pPr>
      <w:r>
        <w:t xml:space="preserve">Coale A, Demeny P, Vaughan B (1983) Regional model life tables and stable populations. New York NY/London England Academic Press 1983.</w:t>
      </w:r>
    </w:p>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p>
      <w:pPr>
        <w:pStyle w:val="Bibliography"/>
      </w:pPr>
      <w:r>
        <w:t xml:space="preserve">Graunt J (1662) Natural and Political Observations Made upon the Bills of Mortality. London. American edition edited by Walter F. Willcox, John Hopkins Press, Baltimore, 1939.</w:t>
      </w:r>
    </w:p>
    <w:p>
      <w:pPr>
        <w:pStyle w:val="Bibliography"/>
      </w:pPr>
      <w:r>
        <w:t xml:space="preserve">Human Mortality Database (2018) University of California, Berkeley (USA) and Max Planck Institute for Demographic Research (Germany)</w:t>
      </w:r>
    </w:p>
    <w:p>
      <w:pPr>
        <w:pStyle w:val="Bibliography"/>
      </w:pPr>
      <w:r>
        <w:t xml:space="preserve">Kannisto V (1994) Development of oldest-old mortality, 1950-1990: Evidence from 28 developed countries. University Press of Southern Denmark</w:t>
      </w:r>
    </w:p>
    <w:p>
      <w:pPr>
        <w:pStyle w:val="Bibliography"/>
      </w:pPr>
      <w:r>
        <w:t xml:space="preserve">Lee RD, Carter LR (1992) Modeling and forecasting US mortality. Journal of the American Statistical Association 87:659–671</w:t>
      </w:r>
    </w:p>
    <w:p>
      <w:pPr>
        <w:pStyle w:val="Bibliography"/>
      </w:pPr>
      <w:r>
        <w:t xml:space="preserve">Makeham WM (1860) On the law of mortality and the construction of annuity tables. The Assurance Magazine, and Journal of the Institute of Actuaries 8:301–310</w:t>
      </w:r>
    </w:p>
    <w:p>
      <w:pPr>
        <w:pStyle w:val="Bibliography"/>
      </w:pPr>
      <w:r>
        <w:t xml:space="preserve">Oeppen J, Vaupel J (2002) Demography. broken limits to life expectancy. Science (New York, NY) 296:1029–1031</w:t>
      </w:r>
    </w:p>
    <w:p>
      <w:pPr>
        <w:pStyle w:val="Bibliography"/>
      </w:pPr>
      <w:r>
        <w:t xml:space="preserve">Olshansky SJ, Carnes BA, Cassel C (1990) In search of methuselah: Estimating the upper limits to human longevity. Science 250:634–640</w:t>
      </w:r>
    </w:p>
    <w:p>
      <w:pPr>
        <w:pStyle w:val="Bibliography"/>
      </w:pPr>
      <w:r>
        <w:t xml:space="preserve">Omran AR (1971) The theory of epidemiological transition. Milbank Memorial Fund Quarterly 49:509–538</w:t>
      </w:r>
    </w:p>
    <w:p>
      <w:pPr>
        <w:pStyle w:val="Bibliography"/>
      </w:pPr>
      <w:r>
        <w:t xml:space="preserve">Pascariu MD, Aburto JM, Basellini U, Canudas-Romo V (2019) MortalityEstimate: Indirect estimation methods for measurement of demographic indicators</w:t>
      </w:r>
    </w:p>
    <w:p>
      <w:pPr>
        <w:pStyle w:val="Bibliography"/>
      </w:pPr>
      <w:r>
        <w:t xml:space="preserve">Pascariu MD, Canudas-Romo V, Vaupel JW (2018) The double-gap life expectancy forecasting model. Insurance: Mathematics and Economics 78:339–350. doi:</w:t>
      </w:r>
      <w:r>
        <w:t xml:space="preserve"> </w:t>
      </w:r>
      <w:hyperlink r:id="rId56">
        <w:r>
          <w:rPr>
            <w:rStyle w:val="Hyperlink"/>
          </w:rPr>
          <w:t xml:space="preserve">10.1016/j.insmatheco.2017.09.011</w:t>
        </w:r>
      </w:hyperlink>
    </w:p>
    <w:p>
      <w:pPr>
        <w:pStyle w:val="Bibliography"/>
      </w:pPr>
      <w:r>
        <w:t xml:space="preserve">Perks W (1932) On some experiments on the graduation of mortality statistics. Journal of the Institute of Actuaries 63:12–40</w:t>
      </w:r>
    </w:p>
    <w:p>
      <w:pPr>
        <w:pStyle w:val="Bibliography"/>
      </w:pPr>
      <w:r>
        <w:t xml:space="preserve">Raalte AA van, Sasson I, Martikainen P (2018) The case for monitoring life-span inequality. Science 362:1002–1004</w:t>
      </w:r>
    </w:p>
    <w:p>
      <w:pPr>
        <w:pStyle w:val="Bibliography"/>
      </w:pPr>
      <w:r>
        <w:t xml:space="preserve">Sharrow DJ, Anderson JJ (2016) Quantifying intrinsic and extrinsic contributions to human longevity: Application of a two-process vitality model to the human mortality database. Demography 53:2105–2119</w:t>
      </w:r>
    </w:p>
    <w:p>
      <w:pPr>
        <w:pStyle w:val="Bibliography"/>
      </w:pPr>
      <w:r>
        <w:t xml:space="preserve">Thatcher AR, Kannisto V, Vaupel JW (1998) The force of mortality at ages 80 to 120. Odense University Press</w:t>
      </w:r>
    </w:p>
    <w:p>
      <w:pPr>
        <w:pStyle w:val="Bibliography"/>
      </w:pPr>
      <w:r>
        <w:t xml:space="preserve">Torri T, Vaupel JW (2012) Forecasting life expectancy in an international context. International Journal of Forecasting 28:519–531</w:t>
      </w:r>
    </w:p>
    <w:p>
      <w:pPr>
        <w:pStyle w:val="Bibliography"/>
      </w:pPr>
      <w:r>
        <w:t xml:space="preserve">United Nations (1982) Model life tables for developing countries. United Nations</w:t>
      </w:r>
    </w:p>
    <w:p>
      <w:pPr>
        <w:pStyle w:val="Bibliography"/>
      </w:pPr>
      <w:r>
        <w:t xml:space="preserve">United Nations Population Division (2012) World population prospects 2012: Extended model life tables. United Nations, New York</w:t>
      </w:r>
    </w:p>
    <w:p>
      <w:pPr>
        <w:pStyle w:val="Bibliography"/>
      </w:pPr>
      <w:r>
        <w:t xml:space="preserve">Vaupel JW (2010) Biodemography of human ageing. Nature 464:536</w:t>
      </w:r>
    </w:p>
    <w:p>
      <w:pPr>
        <w:pStyle w:val="Bibliography"/>
      </w:pPr>
      <w:r>
        <w:t xml:space="preserve">Wilmoth J, Andreev K, Jdanov D et al (2017) Methods protocol for the human mortality database. University of California, Berkeley and Max-Planck-Institute for Demographic Research</w:t>
      </w:r>
    </w:p>
    <w:p>
      <w:pPr>
        <w:pStyle w:val="Bibliography"/>
      </w:pPr>
      <w:r>
        <w:t xml:space="preserve">Wilmoth J, Zureick S, Canudas-Romo V et al (2012) A flexible two-dimensional mortality model for use in indirect estimation. Population studies 66:1–28</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7f22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56" Target="https://doi.org/10.1016/j.insmatheco.2017.09.011" TargetMode="External" /><Relationship Type="http://schemas.openxmlformats.org/officeDocument/2006/relationships/hyperlink" Id="rId55" Target="https://doi.org/arXiv:1504.02057"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 Type="http://schemas.openxmlformats.org/officeDocument/2006/relationships/hyperlink" Id="rId28" Target="mailto:ugofilippo.basellini@ined.fr"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j.insmatheco.2017.09.011" TargetMode="External" /><Relationship Type="http://schemas.openxmlformats.org/officeDocument/2006/relationships/hyperlink" Id="rId55" Target="https://doi.org/arXiv:1504.02057"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 Type="http://schemas.openxmlformats.org/officeDocument/2006/relationships/hyperlink" Id="rId28" Target="mailto:ugofilippo.basellini@ine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2019-03-25T15:51:33Z</dcterms:created>
  <dcterms:modified xsi:type="dcterms:W3CDTF">2019-03-25T15:51:33Z</dcterms:modified>
</cp:coreProperties>
</file>