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3.png" ContentType="image/png"/>
  <Override PartName="/word/media/rId43.png" ContentType="image/png"/>
  <Override PartName="/word/media/rId40.png" ContentType="image/png"/>
  <Override PartName="/word/media/rId35.png" ContentType="image/png"/>
  <Override PartName="/word/media/rId38.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w:t>
      </w:r>
    </w:p>
    <w:p>
      <w:pPr>
        <w:pStyle w:val="Heading1"/>
      </w:pPr>
      <w:bookmarkStart w:id="29" w:name="definition"/>
      <w:r>
        <w:t xml:space="preserve">Definition</w:t>
      </w:r>
      <w:bookmarkEnd w:id="29"/>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0" w:name="overview"/>
      <w:r>
        <w:t xml:space="preserve">Overview</w:t>
      </w:r>
      <w:bookmarkEnd w:id="30"/>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present mortality conditions into their long run consequences, which makes them models (crossref life tables). The number of data input elements in the life table can be thought of as its parameters, and life table has about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(link to entry),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dependant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The first parametric mortality model to be proposed was that of</w:t>
      </w:r>
      <w:r>
        <w:t xml:space="preserve"> </w:t>
      </w:r>
      <w:r>
        <w:t xml:space="preserve">Gompertz (1825)</w:t>
      </w:r>
      <w:r>
        <w:t xml:space="preserve">, which describes mortality in adult ages very well using just two parameters, and is still widely used today (see section XXX).</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p>
    <w:p>
      <w:pPr>
        <w:pStyle w:val="BodyText"/>
      </w:pPr>
      <w:r>
        <w:t xml:space="preserve">The last century recorded remarkable changes in patterns of health and disease. The leading causes of death shift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(supercentenarians)(link to entry).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(link to entry?). Model life tables consist in two parts: (i) A standard mortality pattern that covers the full age range, potentially a blend of many higher quality life tables and (ii) an approach to adjust the standard to match a reduced set of measured values (see section XXX for an application). Often the measured values (the model parameters) are measures in two or more ages. Usually one refers to a system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LC).</w:t>
      </w:r>
    </w:p>
    <w:p>
      <w:pPr>
        <w:pStyle w:val="BodyText"/>
      </w:pPr>
      <w:r>
        <w:t xml:space="preserve">Improvements in mortality modeling techniques lead to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1" w:name="key-research-findings"/>
      <w:r>
        <w:t xml:space="preserve">Key Research Findings</w:t>
      </w:r>
      <w:bookmarkEnd w:id="31"/>
    </w:p>
    <w:p>
      <w:pPr>
        <w:pStyle w:val="FirstParagraph"/>
      </w:pPr>
      <w:r>
        <w:t xml:space="preserve">This section contains an overview of some key findings in mortality modeling over the last centuries.</w:t>
      </w:r>
    </w:p>
    <w:p>
      <w:pPr>
        <w:pStyle w:val="Heading3"/>
      </w:pPr>
      <w:bookmarkStart w:id="32" w:name="gompertz-law"/>
      <w:r>
        <w:t xml:space="preserve">Gompertz law</w:t>
      </w:r>
      <w:bookmarkEnd w:id="32"/>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the first and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4" w:name="mortality-over-the-life-course"/>
      <w:r>
        <w:t xml:space="preserve">Mortality over the life course</w:t>
      </w:r>
      <w:bookmarkEnd w:id="34"/>
    </w:p>
    <w:p>
      <w:pPr>
        <w:pStyle w:val="FirstParagraph"/>
      </w:pPr>
      <w:r>
        <w:t xml:space="preserve">In 1871, the Danish astronomer and actuary Thorvald Thiele introduced the a partition of human mortality pattern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centre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mortality pattern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divides clearly into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6" w:name="debate-on-the-plateau"/>
      <w:r>
        <w:t xml:space="preserve">Debate on the plateau</w:t>
      </w:r>
      <w:bookmarkEnd w:id="36"/>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2014; Newman 2018)</w:t>
      </w:r>
      <w:r>
        <w:t xml:space="preserve">.</w:t>
      </w:r>
    </w:p>
    <w:p>
      <w:pPr>
        <w:pStyle w:val="Heading3"/>
      </w:pPr>
      <w:bookmarkStart w:id="37" w:name="rectangularization"/>
      <w:r>
        <w:t xml:space="preserve">Rectangularization</w:t>
      </w:r>
      <w:bookmarkEnd w:id="37"/>
    </w:p>
    <w:p>
      <w:pPr>
        <w:pStyle w:val="FirstParagraph"/>
      </w:pPr>
      <w:r>
        <w:t xml:space="preserve">Mortality rates can be translated to a so-called survivor curve using lifetable techniques.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8"/>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39" w:name="oeppen-vaupel-line"/>
      <w:r>
        <w:t xml:space="preserve">Oeppen-Vaupel line</w:t>
      </w:r>
      <w:bookmarkEnd w:id="39"/>
    </w:p>
    <w:p>
      <w:pPr>
        <w:pStyle w:val="FirstParagraph"/>
      </w:pPr>
      <w:r>
        <w:t xml:space="preserve">Oeppen and Vaupel (2002)</w:t>
      </w:r>
      <w:r>
        <w:t xml:space="preserve"> </w:t>
      </w:r>
      <w:r>
        <w:t xml:space="preserve">pointed out a striking regularity in human mortality since 1840: The highest level of observed life expectancy each year has been rising at a steady pace of almost 3 months per year over the entire period. The authors analyzed the evolution of female best-practice life expectancy at birth (that is, the life expectancy of the country holding the highest level in the whole world in a given calendar year) from 1840 to 2000, finding a linear trend that increased at a steady pace of almost 3 months per year during the last 160 years. Fig.</w:t>
      </w:r>
      <w:r>
        <w:t xml:space="preserve"> </w:t>
      </w:r>
      <w:r>
        <w:t xml:space="preserve">4</w:t>
      </w:r>
      <w:r>
        <w:t xml:space="preserve"> </w:t>
      </w:r>
      <w:r>
        <w:t xml:space="preserve">shows this finding, which has had direct implications in a number of modeling domains, especially mortality forecasting</w:t>
      </w:r>
      <w:r>
        <w:t xml:space="preserve"> </w:t>
      </w:r>
      <w:r>
        <w:t xml:space="preserve">(Torri and Vaupel 2012; Pascariu et al. 2018)</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1" w:name="examples-of-application"/>
      <w:r>
        <w:t xml:space="preserve">Examples of Application</w:t>
      </w:r>
      <w:bookmarkEnd w:id="41"/>
    </w:p>
    <w:p>
      <w:pPr>
        <w:pStyle w:val="Heading3"/>
      </w:pPr>
      <w:bookmarkStart w:id="42" w:name="model-life-tables"/>
      <w:r>
        <w:t xml:space="preserve">Model life tables</w:t>
      </w:r>
      <w:bookmarkEnd w:id="42"/>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scaled and warped according to a small number of directly measureable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where the standard mortality pattern is derived from male life 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 tables. For instance, a collection of lifetables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4" w:name="extrapolation-and-smoothing"/>
      <w:r>
        <w:t xml:space="preserve">Extrapolation and smoothing</w:t>
      </w:r>
      <w:bookmarkEnd w:id="44"/>
    </w:p>
    <w:p>
      <w:pPr>
        <w:pStyle w:val="FirstParagraph"/>
      </w:pPr>
      <w:r>
        <w:t xml:space="preserve">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2017,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life table death rates are derived from the Kannisto mortality model, as discussed above. The HMD Kannisto fit differs from the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6" w:name="future-directions-of-research"/>
      <w:r>
        <w:t xml:space="preserve">Future Directions of Research</w:t>
      </w:r>
      <w:bookmarkEnd w:id="46"/>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7" w:name="limits-to-life-and-the-mortality-plateau"/>
      <w:r>
        <w:t xml:space="preserve">Limits to life and the mortality plateau</w:t>
      </w:r>
      <w:bookmarkEnd w:id="47"/>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48" w:name="new-population-definitions"/>
      <w:r>
        <w:t xml:space="preserve">New population definitions</w:t>
      </w:r>
      <w:bookmarkEnd w:id="48"/>
    </w:p>
    <w:p>
      <w:pPr>
        <w:pStyle w:val="FirstParagraph"/>
      </w:pPr>
      <w:r>
        <w:t xml:space="preserve">Many methods to harmonize mortality estimation from diverse sources and to make deficient or incomplete vital register data more usable in standard life table applications [XXXXX UB comment: isn’t there a missing verb here? Like</w:t>
      </w:r>
      <w:r>
        <w:t xml:space="preserve"> </w:t>
      </w:r>
      <w:r>
        <w:t xml:space="preserve">“</w:t>
      </w:r>
      <w:r>
        <w:t xml:space="preserve">may methods AIM to …</w:t>
      </w:r>
      <w:r>
        <w:t xml:space="preserve">”</w:t>
      </w:r>
      <w:r>
        <w:t xml:space="preserve">].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9" w:name="coherent-modeling"/>
      <w:r>
        <w:t xml:space="preserve">Coherent modeling</w:t>
      </w:r>
      <w:bookmarkEnd w:id="49"/>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50" w:name="lifespan-inequality"/>
      <w:r>
        <w:t xml:space="preserve">Lifespan inequality</w:t>
      </w:r>
      <w:bookmarkEnd w:id="50"/>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1" w:name="model-translation"/>
      <w:r>
        <w:t xml:space="preserve">Model translation</w:t>
      </w:r>
      <w:bookmarkEnd w:id="51"/>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2" w:name="summary"/>
      <w:r>
        <w:t xml:space="preserve">Summary</w:t>
      </w:r>
      <w:bookmarkEnd w:id="52"/>
    </w:p>
    <w:p>
      <w:pPr>
        <w:pStyle w:val="Heading1"/>
      </w:pPr>
      <w:bookmarkStart w:id="53" w:name="cross-references"/>
      <w:r>
        <w:t xml:space="preserve">Cross references</w:t>
      </w:r>
      <w:bookmarkEnd w:id="53"/>
    </w:p>
    <w:p>
      <w:pPr>
        <w:pStyle w:val="Heading1"/>
      </w:pPr>
      <w:bookmarkStart w:id="54" w:name="references"/>
      <w:r>
        <w:t xml:space="preserve">References</w:t>
      </w:r>
      <w:bookmarkEnd w:id="54"/>
    </w:p>
    <w:bookmarkStart w:id="99" w:name="refs"/>
    <w:bookmarkStart w:id="55" w:name="ref-barbi2018plateau"/>
    <w:p>
      <w:pPr>
        <w:pStyle w:val="Bibliography"/>
      </w:pPr>
      <w:r>
        <w:t xml:space="preserve">Barbi E, Lagona F, Marsili M et al (2018) The plateau of human mortality: Demography of longevity pioneers. Science 360:1459–1461</w:t>
      </w:r>
    </w:p>
    <w:bookmarkEnd w:id="55"/>
    <w:bookmarkStart w:id="56" w:name="ref-beard1971"/>
    <w:p>
      <w:pPr>
        <w:pStyle w:val="Bibliography"/>
      </w:pPr>
      <w:r>
        <w:t xml:space="preserve">Beard R (1971) Biological aspects of demography. In: Brass W (ed). Taylor &amp; Francis Ltd, pp 57–68</w:t>
      </w:r>
    </w:p>
    <w:bookmarkEnd w:id="56"/>
    <w:bookmarkStart w:id="57" w:name="ref-bergeron2015decomposing"/>
    <w:p>
      <w:pPr>
        <w:pStyle w:val="Bibliography"/>
      </w:pPr>
      <w:r>
        <w:t xml:space="preserve">Bergeron-Boucher M-P, Ebeling M, Canudas-Romo V (2015) Decomposing changes in life expectancy: Compression versus shifting mortality. Demographic Research 33:391–424</w:t>
      </w:r>
    </w:p>
    <w:bookmarkEnd w:id="57"/>
    <w:bookmarkStart w:id="58" w:name="ref-bohk2017lifespan"/>
    <w:p>
      <w:pPr>
        <w:pStyle w:val="Bibliography"/>
      </w:pPr>
      <w:r>
        <w:t xml:space="preserve">Bohk-Ewald C, Ebeling M, Rau R (2017) Lifespan disparity as an additional indicator for evaluating mortality forecasts. Demography 54:1559–1577</w:t>
      </w:r>
    </w:p>
    <w:bookmarkEnd w:id="58"/>
    <w:bookmarkStart w:id="59" w:name="ref-bongaarts2005long"/>
    <w:p>
      <w:pPr>
        <w:pStyle w:val="Bibliography"/>
      </w:pPr>
      <w:r>
        <w:t xml:space="preserve">Bongaarts J (2005) Long-range trends in adult mortality: Models and projection methods. Demography 42:23–49</w:t>
      </w:r>
    </w:p>
    <w:bookmarkEnd w:id="59"/>
    <w:bookmarkStart w:id="60" w:name="ref-camarda2016sums"/>
    <w:p>
      <w:pPr>
        <w:pStyle w:val="Bibliography"/>
      </w:pPr>
      <w:r>
        <w:t xml:space="preserve">Camarda CG, Eilers PH, Gampe J (2016) Sums of smooth exponentials to decompose complex series of counts. Statistical Modelling 16:279–296</w:t>
      </w:r>
    </w:p>
    <w:bookmarkEnd w:id="60"/>
    <w:bookmarkStart w:id="61" w:name="ref-canudas2008modal"/>
    <w:p>
      <w:pPr>
        <w:pStyle w:val="Bibliography"/>
      </w:pPr>
      <w:r>
        <w:t xml:space="preserve">Canudas-Romo V (2008) The modal age at death and the shifting mortality hypothesis. Demographic Research 19:1179–1204</w:t>
      </w:r>
    </w:p>
    <w:bookmarkEnd w:id="61"/>
    <w:bookmarkStart w:id="63"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2">
        <w:r>
          <w:rPr>
            <w:rStyle w:val="Hyperlink"/>
          </w:rPr>
          <w:t xml:space="preserve">arXiv:1504.02057</w:t>
        </w:r>
      </w:hyperlink>
    </w:p>
    <w:bookmarkEnd w:id="63"/>
    <w:bookmarkStart w:id="64" w:name="ref-coale1983regional"/>
    <w:p>
      <w:pPr>
        <w:pStyle w:val="Bibliography"/>
      </w:pPr>
      <w:r>
        <w:t xml:space="preserve">Coale A, Demeny P, Vaughan B (1983) Regional model life tables and stable populations. New York NY/London England Academic Press 1983.</w:t>
      </w:r>
    </w:p>
    <w:bookmarkEnd w:id="64"/>
    <w:bookmarkStart w:id="65" w:name="ref-fries1980aging"/>
    <w:p>
      <w:pPr>
        <w:pStyle w:val="Bibliography"/>
      </w:pPr>
      <w:r>
        <w:t xml:space="preserve">Fries J (1980) Aging, natural death, and the compression of morbidity. The New England journal of medicine 303:130–135</w:t>
      </w:r>
    </w:p>
    <w:bookmarkEnd w:id="65"/>
    <w:bookmarkStart w:id="66"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66"/>
    <w:bookmarkStart w:id="67" w:name="ref-gavrilov2019late"/>
    <w:p>
      <w:pPr>
        <w:pStyle w:val="Bibliography"/>
      </w:pPr>
      <w:r>
        <w:t xml:space="preserve">Gavrilov LA, Gavrilova NS (2019) Late-life mortality is underestimated because of data errors. PLoS biology 17:e3000148</w:t>
      </w:r>
    </w:p>
    <w:bookmarkEnd w:id="67"/>
    <w:bookmarkStart w:id="68"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68"/>
    <w:bookmarkStart w:id="69"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69"/>
    <w:bookmarkStart w:id="70" w:name="ref-graunt1662natural"/>
    <w:p>
      <w:pPr>
        <w:pStyle w:val="Bibliography"/>
      </w:pPr>
      <w:r>
        <w:t xml:space="preserve">Graunt J (1662) Natural and Political Observations Made upon the Bills of Mortality. London. American edition edited by Walter F. Willcox, John Hopkins Press, Baltimore, 1939.</w:t>
      </w:r>
    </w:p>
    <w:bookmarkEnd w:id="70"/>
    <w:bookmarkStart w:id="71" w:name="ref-heligman1980age"/>
    <w:p>
      <w:pPr>
        <w:pStyle w:val="Bibliography"/>
      </w:pPr>
      <w:r>
        <w:t xml:space="preserve">Heligman L, Pollard JH (1980) The age pattern of mortality. Journal of the Institute of Actuaries 107:49–80</w:t>
      </w:r>
    </w:p>
    <w:bookmarkEnd w:id="71"/>
    <w:bookmarkStart w:id="72" w:name="ref-HMD"/>
    <w:p>
      <w:pPr>
        <w:pStyle w:val="Bibliography"/>
      </w:pPr>
      <w:r>
        <w:t xml:space="preserve">Human Mortality Database (2018) University of California, Berkeley (USA) and Max Planck Institute for Demographic Research (Germany)</w:t>
      </w:r>
    </w:p>
    <w:bookmarkEnd w:id="72"/>
    <w:bookmarkStart w:id="73" w:name="ref-kannisto2000measuring"/>
    <w:p>
      <w:pPr>
        <w:pStyle w:val="Bibliography"/>
      </w:pPr>
      <w:r>
        <w:t xml:space="preserve">Kannisto V (2000) Measuring the compression of mortality. DEMOGRAPHIC RESEARCH 3:24</w:t>
      </w:r>
    </w:p>
    <w:bookmarkEnd w:id="73"/>
    <w:bookmarkStart w:id="74" w:name="ref-kannisto1994development"/>
    <w:p>
      <w:pPr>
        <w:pStyle w:val="Bibliography"/>
      </w:pPr>
      <w:r>
        <w:t xml:space="preserve">Kannisto V (1994) Development of oldest-old mortality, 1950-1990: Evidence from 28 developed countries. University Press of Southern Denmark</w:t>
      </w:r>
    </w:p>
    <w:bookmarkEnd w:id="74"/>
    <w:bookmarkStart w:id="75" w:name="ref-lee1992modeling"/>
    <w:p>
      <w:pPr>
        <w:pStyle w:val="Bibliography"/>
      </w:pPr>
      <w:r>
        <w:t xml:space="preserve">Lee RD, Carter LR (1992) Modeling and forecasting US mortality. Journal of the American Statistical Association 87:659–671</w:t>
      </w:r>
    </w:p>
    <w:bookmarkEnd w:id="75"/>
    <w:bookmarkStart w:id="76" w:name="ref-makeham1860law"/>
    <w:p>
      <w:pPr>
        <w:pStyle w:val="Bibliography"/>
      </w:pPr>
      <w:r>
        <w:t xml:space="preserve">Makeham WM (1860) On the law of mortality and the construction of annuity tables. The Assurance Magazine, and Journal of the Institute of Actuaries 8:301–310</w:t>
      </w:r>
    </w:p>
    <w:bookmarkEnd w:id="76"/>
    <w:bookmarkStart w:id="77" w:name="ref-moultrie2013tools"/>
    <w:p>
      <w:pPr>
        <w:pStyle w:val="Bibliography"/>
      </w:pPr>
      <w:r>
        <w:t xml:space="preserve">Moultrie TA, Dorrington R, Hill A et al (2013) Tools for demographic estimation. International Union for the Scientific Study of Population</w:t>
      </w:r>
    </w:p>
    <w:bookmarkEnd w:id="77"/>
    <w:bookmarkStart w:id="78" w:name="ref-newman2018errors"/>
    <w:p>
      <w:pPr>
        <w:pStyle w:val="Bibliography"/>
      </w:pPr>
      <w:r>
        <w:t xml:space="preserve">Newman SJ (2018) Errors as a primary cause of late-life mortality deceleration and plateaus. PLoS biology 16:e2006776</w:t>
      </w:r>
    </w:p>
    <w:bookmarkEnd w:id="78"/>
    <w:bookmarkStart w:id="79" w:name="ref-oeppen2002demography"/>
    <w:p>
      <w:pPr>
        <w:pStyle w:val="Bibliography"/>
      </w:pPr>
      <w:r>
        <w:t xml:space="preserve">Oeppen J, Vaupel J (2002) Demography. Broken limits to life expectancy. Science (New York, NY) 296:1029–1031</w:t>
      </w:r>
    </w:p>
    <w:bookmarkEnd w:id="79"/>
    <w:bookmarkStart w:id="80" w:name="ref-olshansky1990search"/>
    <w:p>
      <w:pPr>
        <w:pStyle w:val="Bibliography"/>
      </w:pPr>
      <w:r>
        <w:t xml:space="preserve">Olshansky SJ, Carnes BA, Cassel C (1990) In search of methuselah: Estimating the upper limits to human longevity. Science 250:634–640</w:t>
      </w:r>
    </w:p>
    <w:bookmarkEnd w:id="80"/>
    <w:bookmarkStart w:id="81" w:name="ref-omran1971theory"/>
    <w:p>
      <w:pPr>
        <w:pStyle w:val="Bibliography"/>
      </w:pPr>
      <w:r>
        <w:t xml:space="preserve">Omran AR (1971) The theory of epidemiological transition. Milbank Memorial Fund Quarterly 49:509–538</w:t>
      </w:r>
    </w:p>
    <w:bookmarkEnd w:id="81"/>
    <w:bookmarkStart w:id="82" w:name="ref-pascariu2018MortalityLaws"/>
    <w:p>
      <w:pPr>
        <w:pStyle w:val="Bibliography"/>
      </w:pPr>
      <w:r>
        <w:t xml:space="preserve">Pascariu MD (2018) MortalityLaws: Parametric mortality models, life tables and hmd</w:t>
      </w:r>
    </w:p>
    <w:bookmarkEnd w:id="82"/>
    <w:bookmarkStart w:id="83" w:name="ref-MortalityEstimate2019"/>
    <w:p>
      <w:pPr>
        <w:pStyle w:val="Bibliography"/>
      </w:pPr>
      <w:r>
        <w:t xml:space="preserve">Pascariu MD, Aburto JM, Basellini U, Canudas-Romo V (2019) MortalityEstimate: Indirect estimation methods for measurement of demographic indicators</w:t>
      </w:r>
    </w:p>
    <w:bookmarkEnd w:id="83"/>
    <w:bookmarkStart w:id="85" w:name="ref-pascariu2018double"/>
    <w:p>
      <w:pPr>
        <w:pStyle w:val="Bibliography"/>
      </w:pPr>
      <w:r>
        <w:t xml:space="preserve">Pascariu MD, Canudas-Romo V, Vaupel JW (2018) The double-gap life expectancy forecasting model. Insurance: Mathematics and Economics 78:339–350. doi:</w:t>
      </w:r>
      <w:r>
        <w:t xml:space="preserve"> </w:t>
      </w:r>
      <w:hyperlink r:id="rId84">
        <w:r>
          <w:rPr>
            <w:rStyle w:val="Hyperlink"/>
          </w:rPr>
          <w:t xml:space="preserve">10.1016/j.insmatheco.2017.09.011</w:t>
        </w:r>
      </w:hyperlink>
    </w:p>
    <w:bookmarkEnd w:id="85"/>
    <w:bookmarkStart w:id="86" w:name="ref-perks1932"/>
    <w:p>
      <w:pPr>
        <w:pStyle w:val="Bibliography"/>
      </w:pPr>
      <w:r>
        <w:t xml:space="preserve">Perks W (1932) On some experiments on the graduation of mortality statistics. Journal of the Institute of Actuaries 63:12–40</w:t>
      </w:r>
    </w:p>
    <w:bookmarkEnd w:id="86"/>
    <w:bookmarkStart w:id="87" w:name="ref-van2018case"/>
    <w:p>
      <w:pPr>
        <w:pStyle w:val="Bibliography"/>
      </w:pPr>
      <w:r>
        <w:t xml:space="preserve">Raalte AA van, Sasson I, Martikainen P (2018) The case for monitoring life-span inequality. Science 362:1002–1004</w:t>
      </w:r>
    </w:p>
    <w:bookmarkEnd w:id="87"/>
    <w:bookmarkStart w:id="88"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88"/>
    <w:bookmarkStart w:id="89" w:name="ref-thatcher1998force"/>
    <w:p>
      <w:pPr>
        <w:pStyle w:val="Bibliography"/>
      </w:pPr>
      <w:r>
        <w:t xml:space="preserve">Thatcher AR, Kannisto V, Vaupel JW (1998) The force of mortality at ages 80 to 120. Odense University Press</w:t>
      </w:r>
    </w:p>
    <w:bookmarkEnd w:id="89"/>
    <w:bookmarkStart w:id="90"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0"/>
    <w:bookmarkStart w:id="91" w:name="ref-torri2012forecasting"/>
    <w:p>
      <w:pPr>
        <w:pStyle w:val="Bibliography"/>
      </w:pPr>
      <w:r>
        <w:t xml:space="preserve">Torri T, Vaupel JW (2012) Forecasting life expectancy in an international context. International Journal of Forecasting 28:519–531</w:t>
      </w:r>
    </w:p>
    <w:bookmarkEnd w:id="91"/>
    <w:bookmarkStart w:id="92" w:name="ref-unpd1982"/>
    <w:p>
      <w:pPr>
        <w:pStyle w:val="Bibliography"/>
      </w:pPr>
      <w:r>
        <w:t xml:space="preserve">United Nations (1982) Model life tables for developing countries. United Nations</w:t>
      </w:r>
    </w:p>
    <w:bookmarkEnd w:id="92"/>
    <w:bookmarkStart w:id="93" w:name="ref-wpp2012"/>
    <w:p>
      <w:pPr>
        <w:pStyle w:val="Bibliography"/>
      </w:pPr>
      <w:r>
        <w:t xml:space="preserve">United Nations Population Division (2012) World population prospects 2012: Extended model life tables. United Nations, New York</w:t>
      </w:r>
    </w:p>
    <w:bookmarkEnd w:id="93"/>
    <w:bookmarkStart w:id="94" w:name="ref-vaupel1986change"/>
    <w:p>
      <w:pPr>
        <w:pStyle w:val="Bibliography"/>
      </w:pPr>
      <w:r>
        <w:t xml:space="preserve">Vaupel JW (1986) How change in age-specific mortality affects life expectancy. Population Studies 40:147–157</w:t>
      </w:r>
    </w:p>
    <w:bookmarkEnd w:id="94"/>
    <w:bookmarkStart w:id="95" w:name="ref-vaupel2010biodemography"/>
    <w:p>
      <w:pPr>
        <w:pStyle w:val="Bibliography"/>
      </w:pPr>
      <w:r>
        <w:t xml:space="preserve">Vaupel JW (2010) Biodemography of human ageing. Nature 464:536</w:t>
      </w:r>
    </w:p>
    <w:bookmarkEnd w:id="95"/>
    <w:bookmarkStart w:id="96"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96"/>
    <w:bookmarkStart w:id="97" w:name="ref-wilmoth2012flexible"/>
    <w:p>
      <w:pPr>
        <w:pStyle w:val="Bibliography"/>
      </w:pPr>
      <w:r>
        <w:t xml:space="preserve">Wilmoth J, Zureick S, Canudas-Romo V et al (2012) A flexible two-dimensional mortality model for use in indirect estimation. Population studies 66:1–28</w:t>
      </w:r>
    </w:p>
    <w:bookmarkEnd w:id="97"/>
    <w:bookmarkStart w:id="98" w:name="ref-yashin2001new"/>
    <w:p>
      <w:pPr>
        <w:pStyle w:val="Bibliography"/>
      </w:pPr>
      <w:r>
        <w:t xml:space="preserve">Yashin AI, Begun AS, Boiko SI et al (2001) The new trends in survival improvement require a revision of traditional gerontological concepts. Experimental Gerontology 37:157–167</w:t>
      </w:r>
    </w:p>
    <w:bookmarkEnd w:id="98"/>
    <w:bookmarkEnd w:id="99"/>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84" Target="https://doi.org/10.1016/j.insmatheco.2017.09.011" TargetMode="External" /><Relationship Type="http://schemas.openxmlformats.org/officeDocument/2006/relationships/hyperlink" Id="rId62"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16/j.insmatheco.2017.09.011" TargetMode="External" /><Relationship Type="http://schemas.openxmlformats.org/officeDocument/2006/relationships/hyperlink" Id="rId62"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2019-03-27T17:19:48Z</dcterms:created>
  <dcterms:modified xsi:type="dcterms:W3CDTF">2019-03-27T17:19:48Z</dcterms:modified>
</cp:coreProperties>
</file>

<file path=docProps/custom.xml><?xml version="1.0" encoding="utf-8"?>
<Properties xmlns="http://schemas.openxmlformats.org/officeDocument/2006/custom-properties" xmlns:vt="http://schemas.openxmlformats.org/officeDocument/2006/docPropsVTypes"/>
</file>