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  <w:jc w:val="center"/>
      </w:pPr>
      <w:r>
        <w:rPr>
          <w:rFonts w:asciiTheme="majorHAnsi" w:hAnsiTheme="majorHAnsi" w:cstheme="majorHAnsi"/>
          <w:b/>
          <w:bCs/>
          <w:color w:val="1F3864"/>
        </w:rPr>
        <w:t xml:space="preserve">Tim King</w:t>
      </w:r>
    </w:p>
    <w:p>
      <w:pPr>
        <w:spacing w:after="200"/>
        <w:jc w:val="center"/>
      </w:pPr>
      <w:r>
        <w:rPr>
          <w:rFonts w:asciiTheme="majorHAnsi" w:hAnsiTheme="majorHAnsi" w:cstheme="majorHAnsi"/>
          <w:color w:val="444444"/>
        </w:rPr>
        <w:t xml:space="preserve">New York, NY | (617) 960-7176 | tim.r.king11@gmail.com | </w:t>
      </w:r>
      <w:hyperlink r:id="rId100" w:history="1">
        <w:r>
          <w:rPr>
            <w:rStyle w:val="Hyperlink"/>
            <w:rFonts w:asciiTheme="majorHAnsi" w:hAnsiTheme="majorHAnsi" w:cstheme="majorHAnsi"/>
          </w:rPr>
          <w:t xml:space="preserve">LinkedIn Profile</w:t>
        </w:r>
      </w:hyperlink>
      <w:r>
        <w:rPr>
          <w:rFonts w:asciiTheme="majorHAnsi" w:hAnsiTheme="majorHAnsi" w:cstheme="majorHAnsi"/>
          <w:color w:val="444444"/>
        </w:rPr>
        <w:t xml:space="preserve"> | </w:t>
      </w:r>
      <w:hyperlink r:id="rId101" w:history="1">
        <w:r>
          <w:rPr>
            <w:rStyle w:val="Hyperlink"/>
            <w:rFonts w:asciiTheme="majorHAnsi" w:hAnsiTheme="majorHAnsi" w:cstheme="majorHAnsi"/>
          </w:rPr>
          <w:t xml:space="preserve">GitHub</w:t>
        </w:r>
      </w:hyperlink>
      <w:r>
        <w:rPr>
          <w:rFonts w:asciiTheme="majorHAnsi" w:hAnsiTheme="majorHAnsi" w:cstheme="majorHAnsi"/>
          <w:color w:val="444444"/>
        </w:rPr>
        <w:t xml:space="preserve"> | </w:t>
      </w:r>
      <w:hyperlink r:id="rId102" w:history="1">
        <w:r>
          <w:rPr>
            <w:rStyle w:val="Hyperlink"/>
            <w:rFonts w:asciiTheme="majorHAnsi" w:hAnsiTheme="majorHAnsi" w:cstheme="majorHAnsi"/>
          </w:rPr>
          <w:t xml:space="preserve">Website</w:t>
        </w:r>
      </w:hyperlink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Professional Summary &amp; Areas of Expertise</w:t>
      </w:r>
    </w:p>
    <w:p>
      <w:pPr>
        <w:spacing w:after="100"/>
        <w:jc w:val="center"/>
      </w:pPr>
      <w:r>
        <w:rPr>
          <w:rFonts w:asciiTheme="majorHAnsi" w:hAnsiTheme="majorHAnsi" w:cstheme="majorHAnsi"/>
        </w:rPr>
        <w:t xml:space="preserve">AI Adoption Enthusiast | Marketing, Advertising, Product, Services, &amp; Sales GTM Engineer | Systems Thinker | Process Engineer | Business Strategy | GTM and Sales/Marketing Execution Specialist | Sales Professional (End to End Sales)</w:t>
      </w:r>
    </w:p>
    <w:p>
      <w:pPr>
        <w:spacing w:after="100"/>
        <w:jc w:val="center"/>
      </w:pPr>
      <w:r>
        <w:rPr>
          <w:rFonts w:asciiTheme="majorHAnsi" w:hAnsiTheme="majorHAnsi" w:cstheme="majorHAnsi"/>
        </w:rPr>
        <w:t xml:space="preserve">AI Adoption Strategies for Sales Enablement and Business Growth • Change Readiness &amp; Stakeholder Alignment • CPM, CPA &amp; ROI Business Cases • Business Process Improvement • Revenue Forecasting &amp; KPI Management • Sales Team Coaching &amp; Performance Management • AI &amp; Data Platform Solution Selling • Prompt Engineering &amp; AI-Enabled Workflow • Strategic Partnerships &amp; Channel • Media &amp; Sponsorship Sales • Operating Cadence Design (RACI, Decision Logs) • Business Analysis &amp; Advisory • Funding-Source Diagnostics (Co-Op, MDF, Sponsorship, 501(c)(3)) • Go-To-Market Strategy • Lead Generation &amp; Prospecting • Contract &amp; Proposal Development</w:t>
      </w:r>
    </w:p>
    <w:p>
      <w:pPr>
        <w:keepNext/>
        <w:jc w:val="center"/>
      </w:pPr>
      <w:r>
        <w:rPr>
          <w:rFonts w:asciiTheme="majorHAnsi" w:hAnsiTheme="majorHAnsi" w:cstheme="majorHAnsi"/>
          <w:b/>
          <w:bCs/>
          <w:u w:val="single"/>
        </w:rPr>
        <w:t xml:space="preserve">Technologies</w:t>
      </w:r>
      <w:r>
        <w:rPr>
          <w:rFonts w:asciiTheme="majorHAnsi" w:hAnsiTheme="majorHAnsi" w:cstheme="majorHAnsi"/>
          <w:b/>
          <w:bCs/>
        </w:rPr>
        <w:t xml:space="preserve">:</w:t>
      </w:r>
    </w:p>
    <w:p>
      <w:pPr>
        <w:jc w:val="center"/>
      </w:pPr>
      <w:r>
        <w:rPr>
          <w:rFonts w:asciiTheme="majorHAnsi" w:hAnsiTheme="majorHAnsi" w:cstheme="majorHAnsi"/>
        </w:rPr>
        <w:t xml:space="preserve">Miro, Office-Place Collaboration Tools (Slack, MS Teams, Webex, Google Meet, Zoom), Google Tag Manager, Canva, Trello, Microsoft Copilot, Claude &amp; Claude Code (Sonnet 5.x / Opus 5 / Fable 5), OpenAI (GPT-5.6, Sol, Terra, Luna), Model Context Protocol (MCP) Servers, Tableau (beginner), Microsoft Excel (VLOOKUPs, INDEX-MATCH-MATCH, XLOOKUP), Notion, Marketo, Salesforce (Classic, Lightning), LinkedIn (Sales Navigator, Recruiter), ZoomInfo, Apollo.io, Squarespace, HubSpot, GitHub, GCP, Visual Studio &amp; VS Code, Microsoft Stack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Education</w:t>
      </w:r>
    </w:p>
    <w:p>
      <w:pPr>
        <w:keepNext/>
        <w:spacing w:after="20"/>
      </w:pPr>
      <w:r>
        <w:rPr>
          <w:rFonts w:asciiTheme="majorHAnsi" w:hAnsiTheme="majorHAnsi" w:cstheme="majorHAnsi"/>
          <w:b/>
          <w:bCs/>
        </w:rPr>
        <w:t xml:space="preserve">University of Maine Business School</w:t>
      </w:r>
    </w:p>
    <w:p>
      <w:pPr>
        <w:spacing w:after="100"/>
      </w:pPr>
      <w:r>
        <w:rPr>
          <w:rFonts w:asciiTheme="majorHAnsi" w:hAnsiTheme="majorHAnsi" w:cstheme="majorHAnsi"/>
          <w:i/>
          <w:iCs/>
          <w:color w:val="444444"/>
        </w:rPr>
        <w:t xml:space="preserve">B.S., Double Major in Finance and Marketing | Spring 2018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Professional Experience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Business Consultant - GTM Engineer &amp; Strategic Advisor | Strategic Market Insights (self-employed)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July 2026 – Present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New York, NY · Advisory &amp; GTM engineering practice · Key Engagement: healthcare AI start-up (confidential)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Onboarded a healthcare tech startup's team to a gated tracking system, giving the CEO approval oversight on dev expenses and fractional work hours.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Authored the launch-readiness assessment that reset the execution sequence, converting five organizational gaps into a dated plan with named owners.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Built the practice's multi-tenant client engagement tracker with Claude Code, with 60 automated tests enforcing cross-client data isolation.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Diagnosed data-sync failures caused by null values and missing governance rules, then enforced sync governance constraints through 60 automated tests.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Ran weekly forecasting cadence via a central dashboard tracking sequenced GTM gates and owners, resolving blockers with the team.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Blocked a proposed EHR data migration as an uncompensated asset transfer, defining the NDA-to-BAA sequence that protected the client's data asset.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Produced the collateral the client sells with: pitch deck, competitive battlecards, partner negotiation sheets, and an eight-document executive round table.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Advertising Sales Director - Pro-Division | Professional Sports Publications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March 2026 – August 2026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New York, NY · Print-Media Advertising Agency supporting all major professional and university sports teams (yearbook and program ad placement)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Modeled a $10.98 blended CPM against 1.32M reach and a $2,849 cost-per-acquisition benchmark to price a $14,500 buy on outcome economics.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Closed 5 signed NFL and MLB team-media partnerships, all paid in full at signing, including 2 accounts with no prior purchase history.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Qualified every prospect against the budget that can fund it — co-op, MDF, sponsorship, and 501(c)(3) dollars — opening 2 net-new accounts.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Identified key decision-makers with ZoomInfo, LinkedIn Sales Navigator, and AI-assisted account mapping using OpenAI and Claude models.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Analyzed competitor products and services against ROI benchmarks, building metrics frameworks (CPM, readership, audience reach) to strengthen positioning.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Specialized Lead - Data Analytics &amp; Insights | TEKsystems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2024 – November 2025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New York, NY · Top firm for I.T. Staffing &amp; Managed Services with flexible engagement types that work with 85% of Fortune 500 companies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Sourced and staffed 8 solution architects across 8 workstreams on a 12-18 month renewable managed services engagement worth $1M annually.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Scoped and positioned AI, data, and cloud solutions — graph, Adobe Enterprise Suite, Azure, computer vision — translating capability into commercial terms.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Packaged the vertical model into an enablement proposal for Disney Advertising Sales, mapping pipeline stages to first-party data and measurement problems.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Lifted lead-to-opportunity conversion from 12% to 28% and CRM field completion from 55% to 89% with rebuilt discovery frameworks and CRM standards.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Enterprise Recruiter – Global Services Division | TEKsystems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2021 – 2024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Boston, MA · Top firm for I.T. Staffing &amp; Managed Services with flexible engagement types that work with 85% of Fortune 500 companies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Partnered with Nike's global supply chain team on in-season optimization, delivering an AI-powered document system.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Opened net-new managed services accounts at Wayfair and Disney's ESPN and Entertainment Technology organization from cold.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Generated $750K+ in annual revenue and won the company-wide sales contest in first full year against a national field.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Produced more than half the revenue on Vertex Pharmaceuticals, the firm's largest regional growth account, and expanded into two new groups.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Sales Development Representative / Inside Sales Rep | demandDrive (Amazon Business &amp; RealPage)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2018 – 2021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Waltham, MA · Outsourced SDR and Sales Representative firm. Key Engagements: SaaS product Propertyware for RealPage, Amazon Key for Business launch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Authored a territory-realignment and post-close operations model adopted company-wide, credited with 150% growth in the Amazon Key for Business launch.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Delivered 200% of first-month quota (12 meetings vs. 6) on a net-new client engagement; named MVP of the Month.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Marketing and Communications Intern | Massachusetts Department of Transportation, EZ Pass Services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May 2016 – September 2016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Weston, MA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Promoted EZ Pass adoption to Massachusetts residents and visitors, processing sign-ups through the transition to a toll-booth-free I-95.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Credentialing &amp; Certifications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Data Analytics &amp; Insights: Data Insights</w:t>
      </w:r>
      <w:r>
        <w:rPr>
          <w:rFonts w:asciiTheme="majorHAnsi" w:hAnsiTheme="majorHAnsi" w:cstheme="majorHAnsi"/>
        </w:rPr>
        <w:t xml:space="preserve"> — TEKsystems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Claude 101 Certification</w:t>
      </w:r>
      <w:r>
        <w:rPr>
          <w:rFonts w:asciiTheme="majorHAnsi" w:hAnsiTheme="majorHAnsi" w:cstheme="majorHAnsi"/>
        </w:rPr>
        <w:t xml:space="preserve"> — Anthropic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Claude Code 101 Certification</w:t>
      </w:r>
      <w:r>
        <w:rPr>
          <w:rFonts w:asciiTheme="majorHAnsi" w:hAnsiTheme="majorHAnsi" w:cstheme="majorHAnsi"/>
        </w:rPr>
        <w:t xml:space="preserve"> — Anthropic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Claude for CoWork</w:t>
      </w:r>
      <w:r>
        <w:rPr>
          <w:rFonts w:asciiTheme="majorHAnsi" w:hAnsiTheme="majorHAnsi" w:cstheme="majorHAnsi"/>
        </w:rPr>
        <w:t xml:space="preserve"> — Anthropic</w:t>
      </w:r>
      <w:r>
        <w:rPr>
          <w:rFonts w:asciiTheme="majorHAnsi" w:hAnsiTheme="majorHAnsi" w:cstheme="majorHAnsi"/>
          <w:i/>
          <w:iCs/>
          <w:color w:val="404040"/>
        </w:rPr>
        <w:t xml:space="preserve"> (In Progress)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Business Consulting Engagements</w:t>
      </w:r>
    </w:p>
    <w:p>
      <w:pPr>
        <w:keepNext/>
        <w:spacing w:after="80"/>
      </w:pPr>
      <w:r>
        <w:rPr>
          <w:rFonts w:asciiTheme="majorHAnsi" w:hAnsiTheme="majorHAnsi" w:cstheme="majorHAnsi"/>
          <w:b/>
          <w:bCs/>
        </w:rPr>
        <w:t xml:space="preserve">Healthcare Technology Start-Up (Confidential)</w:t>
      </w:r>
      <w:r>
        <w:rPr>
          <w:rFonts w:asciiTheme="majorHAnsi" w:hAnsiTheme="majorHAnsi" w:cstheme="majorHAnsi"/>
          <w:b/>
          <w:bCs/>
          <w:i/>
          <w:iCs/>
        </w:rPr>
        <w:t xml:space="preserve"> | New York, NY |</w:t>
      </w:r>
      <w:r>
        <w:rPr>
          <w:rFonts w:asciiTheme="majorHAnsi" w:hAnsiTheme="majorHAnsi" w:cstheme="majorHAnsi"/>
          <w:b/>
          <w:bCs/>
        </w:rPr>
        <w:t xml:space="preserve"> July 2026 – Present</w:t>
      </w:r>
      <w:r>
        <w:rPr>
          <w:rFonts w:asciiTheme="majorHAnsi" w:hAnsiTheme="majorHAnsi" w:cstheme="majorHAnsi"/>
        </w:rPr>
        <w:t xml:space="preserve"> (Part Time)</w:t>
      </w:r>
    </w:p>
    <w:p>
      <w:pPr>
        <w:keepNext/>
        <w:spacing w:after="80"/>
      </w:pPr>
      <w:r>
        <w:rPr>
          <w:rFonts w:asciiTheme="majorHAnsi" w:hAnsiTheme="majorHAnsi" w:cstheme="majorHAnsi"/>
          <w:i/>
          <w:iCs/>
        </w:rPr>
        <w:t xml:space="preserve">Principal Business Strategist – GTM Plan, Business Architectural Roadmap, Blueprint to Obtain Necessary Funding – Healthcare FinTech Start-Up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Built the multi-tenant, role-scoped client engagement tracker that runs the advisory practice using Claude Code — including 60 automated tests asserting cross-client data isolation — with no prior engineering background.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Produced the customer- and investor-facing collateral the company now sells with: pitch deck, competitive battlecards, partner negotiation sheets, and an eight-document executive round table with per-presentation talking points.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Set the unit-economic gates the motion is now measured against: blended CAC under $900, payback under 12 months, monthly churn under 5%, time-to-first-value under 7 days.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Own go-to-market for an AI compliance product sold into independent clinical practices — segmentation, positioning, pricing tiers ($99/$249), channel strategy, and the sequencing that determines which motion gets funded first.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Mapped a $0.76B category projected to reach $5.9B by 2035 (22.8% CAGR), benchmarked five direct comparables across four structural models, and built a decision tree of four exit paths with base-rate odds attached — including the cautionary comparable that won regulatory clearance and still failed on commercialization.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Applied scenario planning and second- and third-order consequence analysis across business, technology, regulatory, and organizational exposure — surfacing downstream consequences before commitments locked in.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Concluded that distribution — not product — decides the outcome, redirecting GTM toward malpractice-carrier and professional-association channel partnerships after modeling that a direct human sales motion cannot carry a 12–18 month CAC payback at those price points.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Designed and launched a 30–40 interview customer discovery sprint to size real addressable demand — screener, interview guide, scoring rubric, and 150-practice candidate universe built from scratch — classifying prospects by platform dependence against a pre-agreed threshold that fires a documented kill/pivot decision instead of a debate.</w:t>
      </w:r>
    </w:p>
    <w:p>
      <w:pPr>
        <w:pStyle w:val="ListParagraph"/>
        <w:numPr>
          <w:ilvl w:val="0"/>
          <w:numId w:val="5"/>
        </w:numPr>
        <w:spacing w:after="160" w:line="250" w:lineRule="auto"/>
        <w:contextualSpacing w:val="0"/>
      </w:pPr>
      <w:r>
        <w:rPr>
          <w:rFonts w:asciiTheme="majorHAnsi" w:hAnsiTheme="majorHAnsi" w:cstheme="majorHAnsi"/>
        </w:rPr>
        <w:t xml:space="preserve">Ran financial forecasting (P&amp;L, tool-stack cost model, Year-1 ARR band) and barriers-to-entry analysis to price strategic alternatives before capital committed; recommended a ~$2.15M non-dilutive federal funding route over an equity raise, tied to a dated decision gate.</w:t>
      </w:r>
    </w:p>
    <w:p>
      <w:pPr>
        <w:keepNext/>
        <w:spacing w:after="80"/>
      </w:pPr>
      <w:r>
        <w:rPr>
          <w:rFonts w:asciiTheme="majorHAnsi" w:hAnsiTheme="majorHAnsi" w:cstheme="majorHAnsi"/>
          <w:b/>
          <w:bCs/>
        </w:rPr>
        <w:t xml:space="preserve">HVAC Services Firm (Confidential)</w:t>
      </w:r>
      <w:r>
        <w:rPr>
          <w:rFonts w:asciiTheme="majorHAnsi" w:hAnsiTheme="majorHAnsi" w:cstheme="majorHAnsi"/>
          <w:b/>
          <w:bCs/>
          <w:i/>
          <w:iCs/>
        </w:rPr>
        <w:t xml:space="preserve"> | Santa Clarita, CA |</w:t>
      </w:r>
      <w:r>
        <w:rPr>
          <w:rFonts w:asciiTheme="majorHAnsi" w:hAnsiTheme="majorHAnsi" w:cstheme="majorHAnsi"/>
          <w:b/>
          <w:bCs/>
        </w:rPr>
        <w:t xml:space="preserve"> August 2026 – September 2026</w:t>
      </w:r>
      <w:r>
        <w:rPr>
          <w:rFonts w:asciiTheme="majorHAnsi" w:hAnsiTheme="majorHAnsi" w:cstheme="majorHAnsi"/>
        </w:rPr>
        <w:t xml:space="preserve"> (Part Time)</w:t>
      </w:r>
    </w:p>
    <w:p>
      <w:pPr>
        <w:keepNext/>
        <w:spacing w:after="80"/>
      </w:pPr>
      <w:r>
        <w:rPr>
          <w:rFonts w:asciiTheme="majorHAnsi" w:hAnsiTheme="majorHAnsi" w:cstheme="majorHAnsi"/>
          <w:i/>
          <w:iCs/>
        </w:rPr>
        <w:t xml:space="preserve">Consultant - Principal Analyst GTM Expansion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Analyzed a proposed expansion site for an HVAC services firm and delivered a feasibility roadmap and governance framework built on a cost-ceiling approach, giving leadership a structured basis for evaluating the expansion decision beyond the initial feasibility dashboard.</w:t>
      </w:r>
    </w:p>
    <w:p>
      <w:pPr>
        <w:pStyle w:val="ListParagraph"/>
        <w:numPr>
          <w:ilvl w:val="0"/>
          <w:numId w:val="5"/>
        </w:numPr>
        <w:spacing w:after="160" w:line="250" w:lineRule="auto"/>
        <w:contextualSpacing w:val="0"/>
      </w:pPr>
      <w:r>
        <w:rPr>
          <w:rFonts w:asciiTheme="majorHAnsi" w:hAnsiTheme="majorHAnsi" w:cstheme="majorHAnsi"/>
        </w:rPr>
        <w:t xml:space="preserve">Built a feasibility dashboard with kill/pivot triggers for an HVAC firm's market-overlap expansion, using cost-ceilings to curb cannibalization and protect profit.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Go-To-Market &amp; Revenue: </w:t>
      </w:r>
      <w:r>
        <w:rPr>
          <w:rFonts w:asciiTheme="majorHAnsi" w:hAnsiTheme="majorHAnsi" w:cstheme="majorHAnsi"/>
        </w:rPr>
        <w:t xml:space="preserve">revenue forecasting &amp; KPI tracking, client retention, GTM strategy, market segmentation, product positioning &amp; messaging, value proposition development, customer discovery, pipeline management, contract negotiation, proposal development, solution selling, account mapping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Research &amp; Analysis: </w:t>
      </w:r>
      <w:r>
        <w:rPr>
          <w:rFonts w:asciiTheme="majorHAnsi" w:hAnsiTheme="majorHAnsi" w:cstheme="majorHAnsi"/>
        </w:rPr>
        <w:t xml:space="preserve">financial forecasting (P&amp;L), business process improvement, barriers-to-entry assessment, Market landscape analysis, competitive intelligence, decision-tree modeling, unit economics (CAC, payback, churn, TTFV), scenario planning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AI &amp; Data: </w:t>
      </w:r>
      <w:r>
        <w:rPr>
          <w:rFonts w:asciiTheme="majorHAnsi" w:hAnsiTheme="majorHAnsi" w:cstheme="majorHAnsi"/>
        </w:rPr>
        <w:t xml:space="preserve">AI governance &amp; output verification, Claude (Opus 5, Sonnet 5, Fable 5), OpenAI / ChatGPT, Microsoft Copilot, prompt engineering, GenAI &amp; machine learning, Claude Code, data analytics, Tableau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Tools &amp; Platforms: </w:t>
      </w:r>
      <w:r>
        <w:rPr>
          <w:rFonts w:asciiTheme="majorHAnsi" w:hAnsiTheme="majorHAnsi" w:cstheme="majorHAnsi"/>
        </w:rPr>
        <w:t xml:space="preserve">Miro, Trello, Canva, Salesforce CRM, ZoomInfo, LinkedIn Sales Navigator, Microsoft Excel &amp; Office Suite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Funding &amp; Commercial Mechanics: </w:t>
      </w:r>
      <w:r>
        <w:rPr>
          <w:rFonts w:asciiTheme="majorHAnsi" w:hAnsiTheme="majorHAnsi" w:cstheme="majorHAnsi"/>
        </w:rPr>
        <w:t xml:space="preserve">managed services &amp; RFP response, Restricted &amp; tax-advantaged funding mechanisms (co-op, MDF, 501(c)(3)), non-dilutive federal grant strategy (SBIR), board &amp; trustee engagement</w:t>
      </w:r>
    </w:p>
    <w:sectPr>
      <w:pgSz w:w="12240" w:h="15840"/>
      <w:pgMar w:top="720" w:right="900" w:bottom="720" w:left="9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7167"/>
    <w:multiLevelType w:val="multilevel"/>
    <w:tmpl w:val="9E3E4C06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AB16C9"/>
    <w:multiLevelType w:val="hybridMultilevel"/>
    <w:tmpl w:val="B1B28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16613"/>
    <w:multiLevelType w:val="multilevel"/>
    <w:tmpl w:val="B3683D60"/>
    <w:lvl w:ilvl="0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>
      <w:numFmt w:val="decimal"/>
      <w:lvlText w:val="%2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5F8A03F2"/>
    <w:multiLevelType w:val="hybridMultilevel"/>
    <w:tmpl w:val="C8BA1B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77A0A32"/>
    <w:multiLevelType w:val="multilevel"/>
    <w:tmpl w:val="E6921468"/>
    <w:lvl w:ilvl="0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6E0462BD"/>
    <w:multiLevelType w:val="hybridMultilevel"/>
    <w:tmpl w:val="71262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234EA6"/>
    <w:multiLevelType w:val="hybridMultilevel"/>
    <w:tmpl w:val="F68AC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F3160D1"/>
    <w:multiLevelType w:val="hybridMultilevel"/>
    <w:tmpl w:val="FAC4BC64"/>
    <w:lvl w:ilvl="0" w:tplc="C49AF858">
      <w:start w:val="1"/>
      <w:numFmt w:val="bullet"/>
      <w:lvlText w:val="•"/>
      <w:lvlJc w:val="left"/>
      <w:pPr>
        <w:ind w:left="302" w:hanging="215"/>
      </w:pPr>
      <w:rPr>
        <w:rFonts w:ascii="Calibri" w:eastAsia="Calibri" w:hAnsi="Calibri" w:cs="Calibri"/>
        <w:sz w:val="20"/>
        <w:szCs w:val="20"/>
      </w:rPr>
    </w:lvl>
    <w:lvl w:ilvl="1" w:tplc="EEF846C4">
      <w:numFmt w:val="decimal"/>
      <w:lvlText w:val=""/>
      <w:lvlJc w:val="left"/>
    </w:lvl>
    <w:lvl w:ilvl="2" w:tplc="4DE8322A">
      <w:numFmt w:val="decimal"/>
      <w:lvlText w:val=""/>
      <w:lvlJc w:val="left"/>
    </w:lvl>
    <w:lvl w:ilvl="3" w:tplc="F206905A">
      <w:numFmt w:val="decimal"/>
      <w:lvlText w:val=""/>
      <w:lvlJc w:val="left"/>
    </w:lvl>
    <w:lvl w:ilvl="4" w:tplc="463E4B24">
      <w:numFmt w:val="decimal"/>
      <w:lvlText w:val=""/>
      <w:lvlJc w:val="left"/>
    </w:lvl>
    <w:lvl w:ilvl="5" w:tplc="019E6F9C">
      <w:numFmt w:val="decimal"/>
      <w:lvlText w:val=""/>
      <w:lvlJc w:val="left"/>
    </w:lvl>
    <w:lvl w:ilvl="6" w:tplc="34DA15A0">
      <w:numFmt w:val="decimal"/>
      <w:lvlText w:val=""/>
      <w:lvlJc w:val="left"/>
    </w:lvl>
    <w:lvl w:ilvl="7" w:tplc="20ACCDD2">
      <w:numFmt w:val="decimal"/>
      <w:lvlText w:val=""/>
      <w:lvlJc w:val="left"/>
    </w:lvl>
    <w:lvl w:ilvl="8" w:tplc="72DE2D0C">
      <w:numFmt w:val="decimal"/>
      <w:lvlText w:val=""/>
      <w:lvlJc w:val="left"/>
    </w:lvl>
  </w:abstractNum>
  <w:num w:numId="1" w16cid:durableId="1274701934">
    <w:abstractNumId w:val="4"/>
  </w:num>
  <w:num w:numId="2" w16cid:durableId="1957439769">
    <w:abstractNumId w:val="0"/>
  </w:num>
  <w:num w:numId="3" w16cid:durableId="1289433140">
    <w:abstractNumId w:val="5"/>
  </w:num>
  <w:num w:numId="4" w16cid:durableId="1947036408">
    <w:abstractNumId w:val="1"/>
  </w:num>
  <w:num w:numId="5" w16cid:durableId="705905780">
    <w:abstractNumId w:val="7"/>
    <w:lvlOverride w:ilvl="0">
      <w:startOverride w:val="1"/>
    </w:lvlOverride>
  </w:num>
  <w:num w:numId="6" w16cid:durableId="937908986">
    <w:abstractNumId w:val="3"/>
  </w:num>
  <w:num w:numId="7" w16cid:durableId="1583025952">
    <w:abstractNumId w:val="6"/>
  </w:num>
  <w:num w:numId="8" w16cid:durableId="621616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95E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43D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3DA5"/>
    <w:rPr>
      <w:color w:val="605E5C"/>
      <w:shd w:val="clear" w:color="auto" w:fill="E1DFDD"/>
    </w:rPr>
  </w:style>
  <w:style w:type="paragraph" w:styleId="ListParagraph">
    <w:name w:val="List Paragraph"/>
    <w:basedOn w:val="Normal"/>
    <w:qFormat/>
    <w:rsid w:val="00F726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00" Type="http://schemas.openxmlformats.org/officeDocument/2006/relationships/hyperlink" Target="https://www.linkedin.com/in/timothy-king1124/?skipRedirect=true" TargetMode="External"/><Relationship Id="rId101" Type="http://schemas.openxmlformats.org/officeDocument/2006/relationships/hyperlink" Target="https://github.com/timrking11-blip" TargetMode="External"/><Relationship Id="rId102" Type="http://schemas.openxmlformats.org/officeDocument/2006/relationships/hyperlink" Target="https://www.strategicmarketinsights.servi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Resume Optimization Tool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 King — Resume</dc:title>
  <dc:creator>Tim King</dc:creator>
  <cp:lastModifiedBy>Tim King</cp:lastModifiedBy>
  <dcterms:created xsi:type="dcterms:W3CDTF">2026-10-01T15:56:17Z</dcterms:created>
  <dcterms:modified xsi:type="dcterms:W3CDTF">2026-10-01T15:56:17Z</dcterms:modified>
</cp:coreProperties>
</file>