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both"/>
      </w:pPr>
      <w:r>
        <w:rPr>
          <w:rFonts w:asciiTheme="majorHAnsi" w:hAnsiTheme="majorHAnsi" w:cstheme="majorHAnsi"/>
        </w:rPr>
        <w:t xml:space="preserve">Revenue and go-to-market operator translating business objectives into documented processes, requirements, and measurable KPIs. Authored a launch-readiness assessment converting five organizational gaps into a dated plan with named owners, reconciled competing stakeholder visions into a staged roadmap with 12 recommendations and 4 stage gates, and built the operating cadence with RACI, escalation thresholds, and a decision log.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GTM and Sales/Marketing Execution Specialist | Business Strategy | Systems Thinker | Process Engineer | AI Strategy &amp; Workflow Automation Leader | Marketing, Advertising, Product, Services, &amp; Sales GTM Engineer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Go-To-Market Strategy • Business Analysis &amp; Advisory • Consultative &amp; Diagnostic Discovery • Revenue Forecasting &amp; KPI Management • Pipeline Development &amp; CRM Discipline • Executive &amp; Board-Level Communication • Change Readiness &amp; Stakeholder Alignment • Market Segmentation &amp; Positioning • Strategic Account Planning &amp; Expansion • AI &amp; Data Platform Solution Selling • Prompt Engineering &amp; AI-Enabled Workflow • Business Process Improvement • Operating Cadence Design (RACI, Decision Logs) • Buy-vs-Build &amp; Competitive Analysis • Primary Research &amp; Customer Discovery • Unit Economics &amp; Revenue Modeling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Gong, Clay, Apollo, Exploriom AI, Excel, Salesforce Dashboard Component, Salesforce, Demandbase, Salesforce (Classic, Lightning), Tableau (beginner), Office-Place Collaboration Tools (Slack, MS Teams, Webex, Google Meet, Zoom), Google Tag Manager, Marketo, HubSpot, Apollo.io, Claude &amp; Claude Code (Sonnet 5.x / Opus 5 / Fable 5), Model Context Protocol (MCP) Servers, Miro, Microsoft Copilot, OpenAI (GPT-5.6, Sol, Terra, Luna), GCP, Microsoft Excel (VLOOKUPs, INDEX-MATCH-MATCH, XLOOKUP), Microsoft Stack, LinkedIn (Sales Navigator, Recruiter), ZoomInfo, Notion, Trello, GitHub, Visual Studio &amp; VS Code, Squarespace, Canva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Presented business architecture, GTM strategy, and the SBIR application package to the CRO, COO, and Chief Clinical Officer, gating 17 items to funding 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an SBIR federal funding route through NIH, aligning the product for D2P2 qualification to unlock up to $2M in capital with CEO sign-off.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Designed a RACI matrix and delegation/escalation protocols with CEO sign-off, governing IP decisions and board-ready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custom CRM from scratch with GTM and prospecting connectors, automated weekly contact enrichment, and account-research agents two-way synced to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Built a weekly capacity forecast, RACI, and decision log for the operating cadence, tracking 3–4 concurrent streams through gated sprint cycles.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Financial Services Professional | New York Life Insurance Company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December 2025 – March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Conducted needs-based assessments on long-term financial, beneficiary, and legacy objectives in estate- and tax-planning terms.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Developed a referral-based book of business through networking, community involvement, and constituent introductions.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Salesforce-based win-loss reviews and aligned with business office Directors, Delivery leadership, and regional sales teams under shared department incentives.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Influenced deal prioritization by weighting opportunities on exclusivity, repeat-buyer status, and engagement scope to align personnel to closeable business.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Owned weekly, monthly, and yearly revenue metrics for the Data Analytics department and two-recruiter team, reporting to Delivery leadership.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digital transformation workstreams on a 12–18 month renewable managed services engagement worth over $1M annually.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discovery directly with Southern Company Gas's Center of Excellence on data science, machine learning, and data governance.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Analyzed CRM opportunity keywords to track emerging-tech demand shifts and delivered a data analytics insights playbook to SVPs at a 12,000-employee firm.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Tracked hiring-trend shifts in remote-work requirements through COVID, identifying incremental employer adaptation in the post-pandemic workplace.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Communications Intern | Massachusetts Department of Transportation, EZ Pass Services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2016 – September 2016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Weston, MA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Promoted EZ Pass adoption to Massachusetts residents and visitors, processing sign-ups through the transition to a toll-booth-free I-95.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(pro bono)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built the engagement's decision system end-to-end: an intake form converting raw inputs into a structured client profile, source-tagged evidence tracking, pre-set go/no-go criteria, and a phase-gated scan list sequencing the full analysis.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a two-site catchment and new-territory analysis for a services operator's proposed branch expansion, mapping drive-time overlap against existing sites and setting the monthly cost ceiling the location had to clear to justify the investment.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client retention, revenue forecasting &amp; KPI tracking, GTM strategy, customer discovery, pipeline management, solution selling, value proposition development, proposal development, market segmentation, product positioning &amp; messaging, contract negotiation,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financial forecasting (P&amp;L), business process improvement, barriers-to-entry assessment, competitive intelligence,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OpenAI / ChatGPT, Microsoft Copilot, prompt engineering, AI governance &amp; output verification, data analytics, Tableau, GenAI &amp; machine learning, Claude Code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Trello, Microsoft Excel &amp; Office Suite, Miro,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managed services &amp; RFP response, Restricted &amp; tax-advantaged funding mechanisms (co-op, MDF, 501(c)(3)), non-dilutive federal grant strategy (SBIR),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2026-10-01T15:56:41Z</dcterms:created>
  <dcterms:modified xsi:type="dcterms:W3CDTF">2026-10-01T15:56:41Z</dcterms:modified>
</cp:coreProperties>
</file>