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Process Engineer | AI Adoption Enthusiast | Marketing, Advertising, Product, Services, &amp; Sales GTM Engineer | GTM and Sales/Marketing Execution Specialist | Systems Thinker | Sales Professional (End to End Sales) | Business Strategy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AI Adoption Strategies for Sales Enablement and Business Growth • Change Readiness &amp; Stakeholder Alignment • Pipeline Development &amp; CRM Discipline • Revenue Forecasting &amp; KPI Management • Sales Team Coaching &amp; Performance Management • Strategic Partnerships &amp; Channel • Go-To-Market Strategy • Business Process Improvement • CPM, CPA &amp; ROI Business Cases • Hiring, Onboarding &amp; Seller Ramp • AI &amp; Data Platform Solution Selling • Lead Generation &amp; Prospecting • Prompt Engineering &amp; AI-Enabled Workflow • Market Segmentation &amp; Positioning • Executive &amp; Board-Level Communication • Buy-vs-Build &amp; Competitive Analysis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Salesforce (Classic, Lightning), Miro, LinkedIn (Sales Navigator, Recruiter), Canva, Tableau (beginner), HubSpot, Microsoft Excel (VLOOKUPs, INDEX-MATCH-MATCH, XLOOKUP), Office-Place Collaboration Tools (Slack, MS Teams, Webex, Google Meet, Zoom), Notion, Google Tag Manager, ZoomInfo, Apollo.io, Squarespace, Microsoft Copilot, Claude &amp; Claude Code (Sonnet 5.x / Opus 5 / Fable 5), OpenAI (GPT-5.6, Sol, Terra, Luna), Model Context Protocol (MCP) Servers, Marketo, Trello, GitHub, GCP, Visual Studio &amp; VS Code, Microsoft Stack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Own go-to-market for the client's AI compliance product sold to independent clinical practices — segmentation, positioning, $99/$249 tiers, and channel strategy.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Onboarded a healthcare tech startup's team to a gated tracking system, giving the CEO approval oversight on dev expenses and fractional work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the collateral the client sells with: pitch deck, competitive battlecards, partner negotiation sheets, and an eight-document executive round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weekly forecasting cadence via a central dashboard tracking sequenced GTM gates and owners, resolving blockers with the team.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Built a custom CRM from scratch with GTM and prospecting connectors, automated weekly contact enrichment, and account-research agents two-way synced to GitHub.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Added ~125 net-new qualified prospects per week to Salesforce through targeted account research and stakeholder mapping.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Mined macroeconomic ad-pricing data via AI research agents to map proximity-driven print/radio buying patterns and refocus targeting on co-op-funded buyers.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Modeled a $10.98 blended CPM against 1.32M reach and a $2,849 cost-per-acquisition benchmark to price a $14,500 buy on outcome economics.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Closed 5 signed NFL and MLB team-media partnerships, all paid in full at signing, including 2 accounts with no prior purchase history.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Lifted lead-to-opportunity conversion from 12% to 28% and CRM field completion from 55% to 89% with rebuilt discovery frameworks and CRM standards.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a team of up to 5 direct reports inside a 30-person practice, coaching performance through daily process reviews and 1:1 metric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Media &amp; Entertainment vertical GTM motion — discovery frameworks, opportunity taxonomy, CRM tagging — around CDPs, clean rooms, and ad measurement.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Scoped and positioned AI, data, and cloud solutions — graph, Adobe Enterprise Suite, Azure, computer vision — translating capability into commercial terms.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Sourced, screened, and onboarded enterprise technical talent at scale across four years of professional recruiting.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Generated $750K+ in annual revenue and won the company-wide sales contest in first full year against a national field.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Marketing and Communications Intern | Massachusetts Department of Transportation, EZ Pass Services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2016 – September 2016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Weston, MA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Promoted EZ Pass adoption to Massachusetts residents and visitors, processing sign-ups through the transition to a toll-booth-free I-95.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Ran financial forecasting (P&amp;L, tool-stack cost model, Year-1 ARR band) and barriers-to-entry analysis to price strategic alternatives before capital committed; recommended a ~$2.15M non-dilutive federal funding route over an equity raise, tied to a dated decision gate.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Mapped a $0.76B category projected to reach $5.9B by 2035 (22.8% CAGR), benchmarked five direct comparables across four structural models, and built a decision tree of four exit paths with base-rate odds attached — including the cautionary comparable that won regulatory clearance and still failed on commercialization.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HVAC Services Firm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Santa Clarita, CA |</w:t>
      </w:r>
      <w:r>
        <w:rPr>
          <w:rFonts w:asciiTheme="majorHAnsi" w:hAnsiTheme="majorHAnsi" w:cstheme="majorHAnsi"/>
          <w:b/>
          <w:bCs/>
        </w:rPr>
        <w:t xml:space="preserve"> August 2026 – September 2026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Consultant - Principal Analyst GTM Expansion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a feasibility dashboard with kill/pivot triggers for an HVAC firm's market-overlap expansion, using cost-ceilings to curb cannibalization and protect profit.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an HVAC services firm and delivered a feasibility roadmap and governance framework built on a cost-ceiling approach, giving leadership a structured basis for evaluating the expansion decision beyond the initial feasibility dashboard.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revenue forecasting &amp; KPI tracking, GTM strategy, pipeline management, client retention, market segmentation, product positioning &amp; messaging, value proposition development, customer discovery, contract negotiation, proposal development, solution selling, account mapping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financial forecasting (P&amp;L), business process improvement, competitive intelligence, barriers-to-entry assessment, Market landscape analysis, decision-tree modeling, unit economics (CAC, payback, churn, TTFV), scenario planning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AI governance &amp; output verification, GenAI &amp; machine learning, Claude (Opus 5, Sonnet 5, Fable 5), OpenAI / ChatGPT, Microsoft Copilot, prompt engineering, data analytics, Tableau, Claude Code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Canva, Salesforce CRM, Miro, ZoomInfo, LinkedIn Sales Navigator, Microsoft Excel &amp; Office Suite, Trello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managed services &amp; RFP response, non-dilutive federal grant strategy (SBIR), Restricted &amp; tax-advantaged funding mechanisms (co-op, MDF, 501(c)(3)),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2026-10-01T15:56:32Z</dcterms:created>
  <dcterms:modified xsi:type="dcterms:W3CDTF">2026-10-01T15:56:32Z</dcterms:modified>
</cp:coreProperties>
</file>