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rFonts w:asciiTheme="majorHAnsi" w:hAnsiTheme="majorHAnsi" w:cstheme="majorHAnsi"/>
          <w:b/>
          <w:bCs/>
          <w:color w:val="1F3864"/>
        </w:rPr>
        <w:t xml:space="preserve">Tim King</w:t>
      </w:r>
    </w:p>
    <w:p>
      <w:pPr>
        <w:spacing w:after="200"/>
        <w:jc w:val="center"/>
      </w:pPr>
      <w:r>
        <w:rPr>
          <w:rFonts w:asciiTheme="majorHAnsi" w:hAnsiTheme="majorHAnsi" w:cstheme="majorHAnsi"/>
          <w:color w:val="444444"/>
        </w:rPr>
        <w:t xml:space="preserve">New York, NY | (617) 960-7176 | tim.r.king11@gmail.com | </w:t>
      </w:r>
      <w:hyperlink r:id="rId100" w:history="1">
        <w:r>
          <w:rPr>
            <w:rStyle w:val="Hyperlink"/>
            <w:rFonts w:asciiTheme="majorHAnsi" w:hAnsiTheme="majorHAnsi" w:cstheme="majorHAnsi"/>
          </w:rPr>
          <w:t xml:space="preserve">LinkedIn Profile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1" w:history="1">
        <w:r>
          <w:rPr>
            <w:rStyle w:val="Hyperlink"/>
            <w:rFonts w:asciiTheme="majorHAnsi" w:hAnsiTheme="majorHAnsi" w:cstheme="majorHAnsi"/>
          </w:rPr>
          <w:t xml:space="preserve">GitHub</w:t>
        </w:r>
      </w:hyperlink>
      <w:r>
        <w:rPr>
          <w:rFonts w:asciiTheme="majorHAnsi" w:hAnsiTheme="majorHAnsi" w:cstheme="majorHAnsi"/>
          <w:color w:val="444444"/>
        </w:rPr>
        <w:t xml:space="preserve"> | </w:t>
      </w:r>
      <w:hyperlink r:id="rId102" w:history="1">
        <w:r>
          <w:rPr>
            <w:rStyle w:val="Hyperlink"/>
            <w:rFonts w:asciiTheme="majorHAnsi" w:hAnsiTheme="majorHAnsi" w:cstheme="majorHAnsi"/>
          </w:rPr>
          <w:t xml:space="preserve">Website</w:t>
        </w:r>
      </w:hyperlink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Summary &amp; Areas of Expertise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AI Adoption Enthusiast | AI Strategy &amp; Workflow Automation Leader | Systems Thinker | Process Engineer | GTM and Sales/Marketing Execution Specialist | Revenue Workflow &amp; Adoption Consultant</w:t>
      </w:r>
    </w:p>
    <w:p>
      <w:pPr>
        <w:spacing w:after="100"/>
        <w:jc w:val="center"/>
      </w:pPr>
      <w:r>
        <w:rPr>
          <w:rFonts w:asciiTheme="majorHAnsi" w:hAnsiTheme="majorHAnsi" w:cstheme="majorHAnsi"/>
        </w:rPr>
        <w:t xml:space="preserve">AI Adoption Strategies for Sales Enablement and Business Growth • Change Readiness &amp; Stakeholder Alignment • Consultative &amp; Diagnostic Discovery • Revenue Forecasting &amp; KPI Management • Pipeline Development &amp; CRM Discipline • Operating Cadence Design (RACI, Decision Logs) • Sales Team Coaching &amp; Performance Management • Prompt Engineering &amp; AI-Enabled Workflow • Executive &amp; Board-Level Communication • Business Process Improvement • Lead Generation &amp; Prospecting • Business Analysis &amp; Advisory • Strategic Partnerships &amp; Channel • Primary Research &amp; Customer Discovery • Data Rights &amp; Partner Terms • Go-To-Market Strategy</w:t>
      </w:r>
    </w:p>
    <w:p>
      <w:pPr>
        <w:keepNext/>
        <w:jc w:val="center"/>
      </w:pPr>
      <w:r>
        <w:rPr>
          <w:rFonts w:asciiTheme="majorHAnsi" w:hAnsiTheme="majorHAnsi" w:cstheme="majorHAnsi"/>
          <w:b/>
          <w:bCs/>
          <w:u w:val="single"/>
        </w:rPr>
        <w:t xml:space="preserve">Technologies</w:t>
      </w:r>
      <w:r>
        <w:rPr>
          <w:rFonts w:asciiTheme="majorHAnsi" w:hAnsiTheme="majorHAnsi" w:cstheme="majorHAnsi"/>
          <w:b/>
          <w:bCs/>
        </w:rPr>
        <w:t xml:space="preserve">:</w:t>
      </w:r>
    </w:p>
    <w:p>
      <w:pPr>
        <w:jc w:val="center"/>
      </w:pPr>
      <w:r>
        <w:rPr>
          <w:rFonts w:asciiTheme="majorHAnsi" w:hAnsiTheme="majorHAnsi" w:cstheme="majorHAnsi"/>
        </w:rPr>
        <w:t xml:space="preserve">Salesforce (Classic, Lightning), LinkedIn (Sales Navigator, Recruiter), Office-Place Collaboration Tools (Slack, MS Teams, Webex, Google Meet, Zoom), Miro, ZoomInfo, Google Tag Manager, Apollo.io, HubSpot, Trello, Microsoft Copilot, Claude &amp; Claude Code (Sonnet 5.x / Opus 5 / Fable 5), OpenAI (GPT-5.6, Sol, Terra, Luna), Model Context Protocol (MCP) Servers, Tableau (beginner), Microsoft Excel (VLOOKUPs, INDEX-MATCH-MATCH, XLOOKUP), Marketo, Canva, Notion, Squarespace, GitHub, GCP, Visual Studio &amp; VS Code, Microsoft Stack, Gong, Clay, Explorium AI, Salesforce Dashboards, Demandbase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Education</w:t>
      </w:r>
    </w:p>
    <w:p>
      <w:pPr>
        <w:keepNext/>
        <w:spacing w:after="20"/>
      </w:pPr>
      <w:r>
        <w:rPr>
          <w:rFonts w:asciiTheme="majorHAnsi" w:hAnsiTheme="majorHAnsi" w:cstheme="majorHAnsi"/>
          <w:b/>
          <w:bCs/>
        </w:rPr>
        <w:t xml:space="preserve">University of Maine Business School</w:t>
      </w:r>
    </w:p>
    <w:p>
      <w:pPr>
        <w:spacing w:after="100"/>
      </w:pPr>
      <w:r>
        <w:rPr>
          <w:rFonts w:asciiTheme="majorHAnsi" w:hAnsiTheme="majorHAnsi" w:cstheme="majorHAnsi"/>
          <w:i/>
          <w:iCs/>
          <w:color w:val="444444"/>
        </w:rPr>
        <w:t xml:space="preserve">B.S., Double Major in Finance and Marketing | Spring 2018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Professional Experience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Business Consultant - GTM Engineer &amp; Strategic Advisor | Strategic Market Insights (self-employed)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July 2026 – Present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Advisory &amp; GTM engineering practice · Key Engagement: healthcare AI start-up (confidential)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Advised on data agreements and post-discovery NDAs to protect IP and data rights in a proposed partnership, leading to a decision to decline over replication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Compared VC with research-grant funding and recommended an SBIR-funded route that met capital needs and limited equity dilution, yielding a gated 90-day sprint proposal toward funding lock.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the practice's multi-tenant client engagement tracker with Claude Code, with 60 automated tests enforcing cross-client data isolation.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 custom CRM with GTM and prospecting connectors, automating weekly contact enrichment and account-research agents two-way synced to GitHub.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Mapped stakeholder intervention and sign-off criteria for a startup client, defining who owned gates and approvals across the engagement.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Presented business architecture, GTM strategy, and SBIR application to CRO, COO, and Chief Clinical Officer, gating 17 items to funding lock.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the launch-readiness assessment that reset the execution sequence, converting five organizational gaps into a dated plan with named owners.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Designed a RACI matrix and delegation/escalation protocols with CEO sign-off, governing IP decisions and board-ready recommendations.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Ran weekly forecasting cadence via a central dashboard tracking sequenced GTM gates and owners, resolving blockers with the team.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Advertising Sales Director - Pro-Division | Professional Sports Publications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March 2026 – August 2026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Print-Media Advertising Agency supporting all major professional and university sports teams (yearbook and program ad placement)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Built and maintained a ~$115K active proposal pipeline through a diagnostic, discovery-first approach rather than a pitch-led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Added ~125 net-new qualified prospects per week to Salesforce through targeted account research and stakeholder mapping.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Produced pitch decks for university, building materials and supply, and automotive prospects, using reach, engagement, CPA, and CPM metrics to justify ad spend.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Identified key decision-makers with ZoomInfo, LinkedIn Sales Navigator, and AI-assisted account mapping using OpenAI and Claude models.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Mined macroeconomic ad-pricing data via AI research agents to map proximity-driven print/radio buying patterns and refocus targeting on co-op-funded buyers.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Specialized Lead - Data Analytics &amp; Insights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2024 – November 2025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New York, NY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Ran team workshops on using internal and external tools to improve the quality of prospecting lists for assigned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Business Development on product specifications and customer outcomes, bridging the managed services Architectural committee and Customer Success for Universal Parks &amp; Experiences.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Interviewed candidates for a third-party data services client, screening technical aptitude and start-up fit, and closed the deal through a hiring-manager feedback loop.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Interviewed newly onboarded recruiters alongside the Head of Delivery, assessing sales acumen, process, critical thinking, and cross-functional situation management.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Qualified Southern Gas Company opportunity iteratively using BANT, assessing budget, current and future needs, and urgent timelines for a flex services Center of Excellence build-out.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Lifted lead-to-opportunity conversion from 12% to 28% and CRM field completion from 55% to 89% with rebuilt discovery frameworks and CRM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Led a team of up to 5 direct reports inside a 30-person practice, coaching performance through daily process reviews and 1:1 metric sessions.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Onboarded 3 Data Science and ML consultants to a Southern Company Gas flex services engagement, then ran monthly 1:1s to keep delivery on track.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Ran Salesforce-based win-loss reviews and aligned with business office Directors, Delivery leadership, and regional sales teams under shared department incentives.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Enterprise Recruiter – Global Services Division | TEKsystems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2021 – 2024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Boston, MA · Top firm for I.T. Staffing &amp; Managed Services with flexible engagement types that work with 85% of Fortune 500 companies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Partnered with Nike's global supply chain team on in-season optimization, delivering an AI-powered document system.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Sourced, screened, and onboarded enterprise technical talent at scale across four years of professional recruiting.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Tracked hiring-trend shifts in remote-work requirements through COVID, identifying incremental employer adaptation in the post-pandemic workplace.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Opened net-new managed services accounts at Wayfair and Disney's ESPN and Entertainment Technology organization from cold.</w:t>
      </w:r>
    </w:p>
    <w:p>
      <w:pPr>
        <w:keepNext/>
        <w:tabs>
          <w:tab w:val="right" w:pos="10440"/>
        </w:tabs>
      </w:pPr>
      <w:r>
        <w:rPr>
          <w:rFonts w:asciiTheme="majorHAnsi" w:hAnsiTheme="majorHAnsi" w:cstheme="majorHAnsi"/>
          <w:b/>
          <w:bCs/>
        </w:rPr>
        <w:t xml:space="preserve">Sales Development Representative / Inside Sales Rep | demandDrive (Amazon Business &amp; RealPage) |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2018 – 2021</w:t>
      </w:r>
    </w:p>
    <w:p>
      <w:pPr>
        <w:keepNext/>
        <w:spacing w:after="100" w:line="276" w:lineRule="auto"/>
      </w:pPr>
      <w:r>
        <w:rPr>
          <w:rFonts w:asciiTheme="majorHAnsi" w:hAnsiTheme="majorHAnsi" w:cstheme="majorHAnsi"/>
          <w:color w:val="808080"/>
          <w:sz w:val="16"/>
          <w:szCs w:val="16"/>
        </w:rPr>
        <w:t xml:space="preserve">Waltham, MA · Outsourced SDR and Sales Representative firm. Key Engagements: SaaS product Propertyware for RealPage, Amazon Key for Business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Theme="majorHAnsi" w:hAnsiTheme="majorHAnsi" w:cstheme="majorHAnsi"/>
        </w:rPr>
        <w:t xml:space="preserve">Authored a territory-realignment and post-close operations model adopted company-wide, credited with 150% growth in the Amazon Key for Business launch.</w:t>
      </w:r>
    </w:p>
    <w:p>
      <w:pPr>
        <w:pStyle w:val="ListParagraph"/>
        <w:numPr>
          <w:ilvl w:val="0"/>
          <w:numId w:val="1"/>
        </w:numPr>
        <w:spacing w:after="240"/>
      </w:pPr>
      <w:r>
        <w:rPr>
          <w:rFonts w:asciiTheme="majorHAnsi" w:hAnsiTheme="majorHAnsi" w:cstheme="majorHAnsi"/>
        </w:rPr>
        <w:t xml:space="preserve">Delivered 200% of first-month quota (12 meetings vs. 6) on a net-new client engagement; named MVP of the Month.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Credentialing &amp; Certifications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Data Analytics &amp; Insights: Data Insights</w:t>
      </w:r>
      <w:r>
        <w:rPr>
          <w:rFonts w:asciiTheme="majorHAnsi" w:hAnsiTheme="majorHAnsi" w:cstheme="majorHAnsi"/>
        </w:rPr>
        <w:t xml:space="preserve"> — TEKsystems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Code 101 Certification</w:t>
      </w:r>
      <w:r>
        <w:rPr>
          <w:rFonts w:asciiTheme="majorHAnsi" w:hAnsiTheme="majorHAnsi" w:cstheme="majorHAnsi"/>
        </w:rPr>
        <w:t xml:space="preserve"> — Anthropic</w:t>
      </w:r>
    </w:p>
    <w:p>
      <w:pPr>
        <w:numPr>
          <w:ilvl w:val="0"/>
          <w:numId w:val="5"/>
        </w:numPr>
        <w:spacing w:after="40" w:line="250" w:lineRule="auto"/>
      </w:pPr>
      <w:r>
        <w:rPr>
          <w:rFonts w:asciiTheme="majorHAnsi" w:hAnsiTheme="majorHAnsi" w:cstheme="majorHAnsi"/>
          <w:b/>
          <w:bCs/>
        </w:rPr>
        <w:t xml:space="preserve">Claude for CoWork</w:t>
      </w:r>
      <w:r>
        <w:rPr>
          <w:rFonts w:asciiTheme="majorHAnsi" w:hAnsiTheme="majorHAnsi" w:cstheme="majorHAnsi"/>
        </w:rPr>
        <w:t xml:space="preserve"> — Anthropic</w:t>
      </w:r>
      <w:r>
        <w:rPr>
          <w:rFonts w:asciiTheme="majorHAnsi" w:hAnsiTheme="majorHAnsi" w:cstheme="majorHAnsi"/>
          <w:i/>
          <w:iCs/>
          <w:color w:val="404040"/>
        </w:rPr>
        <w:t xml:space="preserve"> (In Progress)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Business Consulting Engagements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Healthcare Technology Start-Up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New York, NY |</w:t>
      </w:r>
      <w:r>
        <w:rPr>
          <w:rFonts w:asciiTheme="majorHAnsi" w:hAnsiTheme="majorHAnsi" w:cstheme="majorHAnsi"/>
          <w:b/>
          <w:bCs/>
        </w:rPr>
        <w:t xml:space="preserve"> July 2026 – Present</w:t>
      </w:r>
      <w:r>
        <w:rPr>
          <w:rFonts w:asciiTheme="majorHAnsi" w:hAnsiTheme="majorHAnsi" w:cstheme="majorHAnsi"/>
        </w:rPr>
        <w:t xml:space="preserve"> (Part Time)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Principal Business Strategist – GTM Plan, Business Architectural Roadmap, Blueprint to Obtain Necessary Funding – Healthcare FinTech Start-Up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Built the multi-tenant, role-scoped client engagement tracker that runs the advisory practice using Claude Code — including 60 automated tests asserting cross-client data isolation — with no prior engineering background.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Produced the customer- and investor-facing collateral the company now sells with: pitch deck, competitive battlecards, partner negotiation sheets, and an eight-document executive round table with per-presentation talking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Own go-to-market for an AI compliance product sold into independent clinical practices — segmentation, positioning, pricing tiers ($99/$249), channel strategy, and the sequencing that determines which motion gets funded first.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Implemented a staged delivery model with ownership attached to each stage, ensuring subject-matter experts in healthcare compliance and regulation owned the sign-off on technical builds, so every build aligned with the regulatory protocols it had to satisfy.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Advised a healthcare technology start-up on IP ownership and equity tradeoffs while it weighed two funding routes: venture capital and government-funded research through SBIR grants, clarifying what each route meant for ownership.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Set the unit-economic gates the motion is now measured against: blended CAC under $900, payback under 12 months, monthly churn under 5%, time-to-first-value under 7 days.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Concluded that distribution — not product — decides the outcome, redirecting GTM toward malpractice-carrier and professional-association channel partnerships after modeling that a direct human sales motion cannot carry a 12–18 month CAC payback at those price points.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launched a 30–40 interview customer discovery sprint to size real addressable demand — screener, interview guide, scoring rubric, and 150-practice candidate universe built from scratch — classifying prospects by platform dependence against a pre-agreed threshold that fires a documented kill/pivot decision instead of a debate.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Applied scenario planning and second- and third-order consequence analysis across business, technology, regulatory, and organizational exposure — surfacing downstream consequences before commitments locked in.</w:t>
      </w:r>
    </w:p>
    <w:p>
      <w:pPr>
        <w:keepNext/>
        <w:spacing w:after="80"/>
      </w:pPr>
      <w:r>
        <w:rPr>
          <w:rFonts w:asciiTheme="majorHAnsi" w:hAnsiTheme="majorHAnsi" w:cstheme="majorHAnsi"/>
          <w:b/>
          <w:bCs/>
        </w:rPr>
        <w:t xml:space="preserve">HVAC Services Firm (Confidential)</w:t>
      </w:r>
      <w:r>
        <w:rPr>
          <w:rFonts w:asciiTheme="majorHAnsi" w:hAnsiTheme="majorHAnsi" w:cstheme="majorHAnsi"/>
          <w:b/>
          <w:bCs/>
          <w:i/>
          <w:iCs/>
        </w:rPr>
        <w:t xml:space="preserve"> | Santa Clarita, CA |</w:t>
      </w:r>
      <w:r>
        <w:rPr>
          <w:rFonts w:asciiTheme="majorHAnsi" w:hAnsiTheme="majorHAnsi" w:cstheme="majorHAnsi"/>
          <w:b/>
          <w:bCs/>
        </w:rPr>
        <w:t xml:space="preserve"> August 2026 – September 2026</w:t>
      </w:r>
      <w:r>
        <w:rPr>
          <w:rFonts w:asciiTheme="majorHAnsi" w:hAnsiTheme="majorHAnsi" w:cstheme="majorHAnsi"/>
        </w:rPr>
        <w:t xml:space="preserve"> (pro bono)</w:t>
      </w:r>
    </w:p>
    <w:p>
      <w:pPr>
        <w:keepNext/>
        <w:spacing w:after="80"/>
      </w:pPr>
      <w:r>
        <w:rPr>
          <w:rFonts w:asciiTheme="majorHAnsi" w:hAnsiTheme="majorHAnsi" w:cstheme="majorHAnsi"/>
          <w:i/>
          <w:iCs/>
        </w:rPr>
        <w:t xml:space="preserve">Consultant - Principal Analyst GTM Expansion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Designed and built the engagement's decision system end-to-end: an intake form converting raw inputs into a structured client profile, source-tagged evidence tracking, pre-set go/no-go criteria, and a phase-gated scan list sequencing the full analysis.</w:t>
      </w:r>
    </w:p>
    <w:p>
      <w:pPr>
        <w:pStyle w:val="ListParagraph"/>
        <w:numPr>
          <w:ilvl w:val="0"/>
          <w:numId w:val="5"/>
        </w:numPr>
        <w:spacing w:after="40" w:line="250" w:lineRule="auto"/>
        <w:contextualSpacing w:val="0"/>
      </w:pPr>
      <w:r>
        <w:rPr>
          <w:rFonts w:asciiTheme="majorHAnsi" w:hAnsiTheme="majorHAnsi" w:cstheme="majorHAnsi"/>
        </w:rPr>
        <w:t xml:space="preserve">Analyzed a proposed expansion site for an HVAC services firm and delivered a feasibility roadmap and governance framework built on a cost-ceiling approach, giving leadership a structured basis for evaluating the expansion decision beyond the initial feasibility dashboard.</w:t>
      </w:r>
    </w:p>
    <w:p>
      <w:pPr>
        <w:pStyle w:val="ListParagraph"/>
        <w:numPr>
          <w:ilvl w:val="0"/>
          <w:numId w:val="5"/>
        </w:numPr>
        <w:spacing w:after="160" w:line="250" w:lineRule="auto"/>
        <w:contextualSpacing w:val="0"/>
      </w:pPr>
      <w:r>
        <w:rPr>
          <w:rFonts w:asciiTheme="majorHAnsi" w:hAnsiTheme="majorHAnsi" w:cstheme="majorHAnsi"/>
        </w:rPr>
        <w:t xml:space="preserve">Advised an HVAC services firm seeking to expand its market presence by researching territory overlap geo-locationally. The analysis moved the firm's expansion plan toward a cost-ceiling approach, with investment limits set by where expansion territories overlapped.</w:t>
      </w:r>
    </w:p>
    <w:p>
      <w:pPr>
        <w:pStyle w:val="Heading1"/>
        <w:keepNext/>
        <w:pBdr>
          <w:bottom w:val="single" w:sz="6" w:space="2" w:color="999999"/>
        </w:pBdr>
        <w:spacing w:before="240" w:after="100"/>
      </w:pPr>
      <w:r>
        <w:rPr>
          <w:rFonts w:asciiTheme="majorHAnsi" w:hAnsiTheme="majorHAnsi" w:cstheme="majorHAnsi"/>
          <w:b/>
          <w:bCs/>
          <w:color w:val="1F3864"/>
          <w:sz w:val="20"/>
          <w:szCs w:val="20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Go-To-Market &amp; Revenue: </w:t>
      </w:r>
      <w:r>
        <w:rPr>
          <w:rFonts w:asciiTheme="majorHAnsi" w:hAnsiTheme="majorHAnsi" w:cstheme="majorHAnsi"/>
        </w:rPr>
        <w:t xml:space="preserve">customer discovery, pipeline management, revenue forecasting &amp; KPI tracking, solution selling, client retention, GTM strategy, market segmentation, product positioning &amp; messaging, value proposition development, contract negotiation, proposal development, account mapping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Research &amp; Analysis: </w:t>
      </w:r>
      <w:r>
        <w:rPr>
          <w:rFonts w:asciiTheme="majorHAnsi" w:hAnsiTheme="majorHAnsi" w:cstheme="majorHAnsi"/>
        </w:rPr>
        <w:t xml:space="preserve">financial forecasting (P&amp;L), barriers-to-entry assessment, business process improvement, Market landscape analysis, competitive intelligence, decision-tree modeling, unit economics (CAC, payback, churn, TTFV), scenario planning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AI &amp; Data: </w:t>
      </w:r>
      <w:r>
        <w:rPr>
          <w:rFonts w:asciiTheme="majorHAnsi" w:hAnsiTheme="majorHAnsi" w:cstheme="majorHAnsi"/>
        </w:rPr>
        <w:t xml:space="preserve">AI governance &amp; output verification, Claude (Opus 5, Sonnet 5, Fable 5), OpenAI / ChatGPT, Microsoft Copilot, prompt engineering, GenAI &amp; machine learning, Claude Code, data analytics, Tableau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Tools &amp; Platforms: </w:t>
      </w:r>
      <w:r>
        <w:rPr>
          <w:rFonts w:asciiTheme="majorHAnsi" w:hAnsiTheme="majorHAnsi" w:cstheme="majorHAnsi"/>
        </w:rPr>
        <w:t xml:space="preserve">Salesforce CRM, ZoomInfo, LinkedIn Sales Navigator, Trello, Miro, Canva, Microsoft Excel &amp; Office Suite</w:t>
      </w:r>
    </w:p>
    <w:p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Theme="majorHAnsi" w:hAnsiTheme="majorHAnsi" w:cstheme="majorHAnsi"/>
          <w:b/>
          <w:bCs/>
        </w:rPr>
        <w:t xml:space="preserve">Funding &amp; Commercial Mechanics: </w:t>
      </w:r>
      <w:r>
        <w:rPr>
          <w:rFonts w:asciiTheme="majorHAnsi" w:hAnsiTheme="majorHAnsi" w:cstheme="majorHAnsi"/>
        </w:rPr>
        <w:t xml:space="preserve">non-dilutive federal grant strategy (SBIR), Restricted &amp; tax-advantaged funding mechanisms (co-op, MDF, 501(c)(3)), managed services &amp; RFP response, board &amp; trustee engagement</w:t>
      </w:r>
    </w:p>
    <w:sectPr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167"/>
    <w:multiLevelType w:val="multilevel"/>
    <w:tmpl w:val="9E3E4C06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AB16C9"/>
    <w:multiLevelType w:val="hybridMultilevel"/>
    <w:tmpl w:val="B1B2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613"/>
    <w:multiLevelType w:val="multilevel"/>
    <w:tmpl w:val="B3683D60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F8A03F2"/>
    <w:multiLevelType w:val="hybridMultilevel"/>
    <w:tmpl w:val="C8BA1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7A0A32"/>
    <w:multiLevelType w:val="multilevel"/>
    <w:tmpl w:val="E6921468"/>
    <w:lvl w:ilvl="0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6E0462BD"/>
    <w:multiLevelType w:val="hybridMultilevel"/>
    <w:tmpl w:val="71262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EA6"/>
    <w:multiLevelType w:val="hybridMultilevel"/>
    <w:tmpl w:val="F68AC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F3160D1"/>
    <w:multiLevelType w:val="hybridMultilevel"/>
    <w:tmpl w:val="FAC4BC64"/>
    <w:lvl w:ilvl="0" w:tplc="C49AF858">
      <w:start w:val="1"/>
      <w:numFmt w:val="bullet"/>
      <w:lvlText w:val="•"/>
      <w:lvlJc w:val="left"/>
      <w:pPr>
        <w:ind w:left="302" w:hanging="215"/>
      </w:pPr>
      <w:rPr>
        <w:rFonts w:ascii="Calibri" w:eastAsia="Calibri" w:hAnsi="Calibri" w:cs="Calibri"/>
        <w:sz w:val="20"/>
        <w:szCs w:val="20"/>
      </w:rPr>
    </w:lvl>
    <w:lvl w:ilvl="1" w:tplc="EEF846C4">
      <w:numFmt w:val="decimal"/>
      <w:lvlText w:val=""/>
      <w:lvlJc w:val="left"/>
    </w:lvl>
    <w:lvl w:ilvl="2" w:tplc="4DE8322A">
      <w:numFmt w:val="decimal"/>
      <w:lvlText w:val=""/>
      <w:lvlJc w:val="left"/>
    </w:lvl>
    <w:lvl w:ilvl="3" w:tplc="F206905A">
      <w:numFmt w:val="decimal"/>
      <w:lvlText w:val=""/>
      <w:lvlJc w:val="left"/>
    </w:lvl>
    <w:lvl w:ilvl="4" w:tplc="463E4B24">
      <w:numFmt w:val="decimal"/>
      <w:lvlText w:val=""/>
      <w:lvlJc w:val="left"/>
    </w:lvl>
    <w:lvl w:ilvl="5" w:tplc="019E6F9C">
      <w:numFmt w:val="decimal"/>
      <w:lvlText w:val=""/>
      <w:lvlJc w:val="left"/>
    </w:lvl>
    <w:lvl w:ilvl="6" w:tplc="34DA15A0">
      <w:numFmt w:val="decimal"/>
      <w:lvlText w:val=""/>
      <w:lvlJc w:val="left"/>
    </w:lvl>
    <w:lvl w:ilvl="7" w:tplc="20ACCDD2">
      <w:numFmt w:val="decimal"/>
      <w:lvlText w:val=""/>
      <w:lvlJc w:val="left"/>
    </w:lvl>
    <w:lvl w:ilvl="8" w:tplc="72DE2D0C">
      <w:numFmt w:val="decimal"/>
      <w:lvlText w:val=""/>
      <w:lvlJc w:val="left"/>
    </w:lvl>
  </w:abstractNum>
  <w:num w:numId="1" w16cid:durableId="1274701934">
    <w:abstractNumId w:val="4"/>
  </w:num>
  <w:num w:numId="2" w16cid:durableId="1957439769">
    <w:abstractNumId w:val="0"/>
  </w:num>
  <w:num w:numId="3" w16cid:durableId="1289433140">
    <w:abstractNumId w:val="5"/>
  </w:num>
  <w:num w:numId="4" w16cid:durableId="1947036408">
    <w:abstractNumId w:val="1"/>
  </w:num>
  <w:num w:numId="5" w16cid:durableId="705905780">
    <w:abstractNumId w:val="7"/>
    <w:lvlOverride w:ilvl="0">
      <w:startOverride w:val="1"/>
    </w:lvlOverride>
  </w:num>
  <w:num w:numId="6" w16cid:durableId="937908986">
    <w:abstractNumId w:val="3"/>
  </w:num>
  <w:num w:numId="7" w16cid:durableId="1583025952">
    <w:abstractNumId w:val="6"/>
  </w:num>
  <w:num w:numId="8" w16cid:durableId="621616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95E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3D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DA5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F72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00" Type="http://schemas.openxmlformats.org/officeDocument/2006/relationships/hyperlink" Target="https://www.linkedin.com/in/timothy-king1124/?skipRedirect=true" TargetMode="External"/><Relationship Id="rId101" Type="http://schemas.openxmlformats.org/officeDocument/2006/relationships/hyperlink" Target="https://github.com/timrking11-blip" TargetMode="External"/><Relationship Id="rId102" Type="http://schemas.openxmlformats.org/officeDocument/2006/relationships/hyperlink" Target="https://www.strategicmarketinsights.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Resume Optimization Tool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 King — Resume</dc:title>
  <dc:creator>Tim King</dc:creator>
  <cp:lastModifiedBy>Tim King</cp:lastModifiedBy>
  <dcterms:created xsi:type="dcterms:W3CDTF">2026-10-14T04:38:20Z</dcterms:created>
  <dcterms:modified xsi:type="dcterms:W3CDTF">2026-10-14T04:38:20Z</dcterms:modified>
</cp:coreProperties>
</file>