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40"/>
        <w:jc w:val="center"/>
      </w:pPr>
      <w:r>
        <w:rPr>
          <w:rFonts w:asciiTheme="majorHAnsi" w:hAnsiTheme="majorHAnsi" w:cstheme="majorHAnsi"/>
          <w:b/>
          <w:bCs/>
          <w:color w:val="1F3864"/>
        </w:rPr>
        <w:t xml:space="preserve">Tim King</w:t>
      </w:r>
    </w:p>
    <w:p>
      <w:pPr>
        <w:spacing w:after="200"/>
        <w:jc w:val="center"/>
      </w:pPr>
      <w:r>
        <w:rPr>
          <w:rFonts w:asciiTheme="majorHAnsi" w:hAnsiTheme="majorHAnsi" w:cstheme="majorHAnsi"/>
          <w:color w:val="444444"/>
        </w:rPr>
        <w:t xml:space="preserve">New York, NY | (617) 960-7176 | tim.r.king11@gmail.com | </w:t>
      </w:r>
      <w:hyperlink r:id="rId100" w:history="1">
        <w:r>
          <w:rPr>
            <w:rStyle w:val="Hyperlink"/>
            <w:rFonts w:asciiTheme="majorHAnsi" w:hAnsiTheme="majorHAnsi" w:cstheme="majorHAnsi"/>
          </w:rPr>
          <w:t xml:space="preserve">LinkedIn Profile</w:t>
        </w:r>
      </w:hyperlink>
      <w:r>
        <w:rPr>
          <w:rFonts w:asciiTheme="majorHAnsi" w:hAnsiTheme="majorHAnsi" w:cstheme="majorHAnsi"/>
          <w:color w:val="444444"/>
        </w:rPr>
        <w:t xml:space="preserve"> | </w:t>
      </w:r>
      <w:hyperlink r:id="rId101" w:history="1">
        <w:r>
          <w:rPr>
            <w:rStyle w:val="Hyperlink"/>
            <w:rFonts w:asciiTheme="majorHAnsi" w:hAnsiTheme="majorHAnsi" w:cstheme="majorHAnsi"/>
          </w:rPr>
          <w:t xml:space="preserve">GitHub</w:t>
        </w:r>
      </w:hyperlink>
      <w:r>
        <w:rPr>
          <w:rFonts w:asciiTheme="majorHAnsi" w:hAnsiTheme="majorHAnsi" w:cstheme="majorHAnsi"/>
          <w:color w:val="444444"/>
        </w:rPr>
        <w:t xml:space="preserve"> | </w:t>
      </w:r>
      <w:hyperlink r:id="rId102" w:history="1">
        <w:r>
          <w:rPr>
            <w:rStyle w:val="Hyperlink"/>
            <w:rFonts w:asciiTheme="majorHAnsi" w:hAnsiTheme="majorHAnsi" w:cstheme="majorHAnsi"/>
          </w:rPr>
          <w:t xml:space="preserve">Website</w:t>
        </w:r>
      </w:hyperlink>
    </w:p>
    <w:p>
      <w:pPr>
        <w:pStyle w:val="Heading1"/>
        <w:keepNext/>
        <w:pBdr>
          <w:bottom w:val="single" w:sz="6" w:space="2" w:color="999999"/>
        </w:pBdr>
        <w:spacing w:before="240" w:after="100"/>
      </w:pPr>
      <w:r>
        <w:rPr>
          <w:rFonts w:asciiTheme="majorHAnsi" w:hAnsiTheme="majorHAnsi" w:cstheme="majorHAnsi"/>
          <w:b/>
          <w:bCs/>
          <w:color w:val="1F3864"/>
          <w:sz w:val="20"/>
          <w:szCs w:val="20"/>
        </w:rPr>
        <w:t xml:space="preserve">Professional Summary &amp; Areas of Expertise</w:t>
      </w:r>
    </w:p>
    <w:p>
      <w:pPr>
        <w:spacing w:after="100"/>
        <w:jc w:val="both"/>
      </w:pPr>
      <w:r>
        <w:rPr>
          <w:rFonts w:asciiTheme="majorHAnsi" w:hAnsiTheme="majorHAnsi" w:cstheme="majorHAnsi"/>
        </w:rPr>
        <w:t xml:space="preserve">Revenue and go-to-market operator who closed 5 signed NFL and MLB team-media partnerships, all paid in full at signing, and built a $115,000 proposal pipeline through diagnostic, discovery-first selling. Owns positioning, pricing, and channel strategy for an AI compliance product, and built a multi-tenant tracker with Claude Code, backed by 60 automated tests.</w:t>
      </w:r>
    </w:p>
    <w:p>
      <w:pPr>
        <w:spacing w:after="100"/>
        <w:jc w:val="center"/>
      </w:pPr>
      <w:r>
        <w:rPr>
          <w:rFonts w:asciiTheme="majorHAnsi" w:hAnsiTheme="majorHAnsi" w:cstheme="majorHAnsi"/>
        </w:rPr>
        <w:t xml:space="preserve">AI Strategy &amp; Workflow Automation Leader | Sales Professional (End to End Sales) | Marketing, Advertising, Product, Services, &amp; Sales GTM Engineer | Advertising Analytics &amp; Market Intelligence Advisor | Systems Thinker | Technical storyteller for AI and data solutions</w:t>
      </w:r>
    </w:p>
    <w:p>
      <w:pPr>
        <w:spacing w:after="100"/>
        <w:jc w:val="center"/>
      </w:pPr>
      <w:r>
        <w:rPr>
          <w:rFonts w:asciiTheme="majorHAnsi" w:hAnsiTheme="majorHAnsi" w:cstheme="majorHAnsi"/>
        </w:rPr>
        <w:t xml:space="preserve">AI &amp; Data Platform Solution Selling • Consultative &amp; Diagnostic Discovery • Executive &amp; Board-Level Communication • Complex Multi-Stakeholder Negotiation • Ad-Tech Fluency (CDP, Clean Rooms, Identity Graphs, Measurement) • Media &amp; Sponsorship Sales • Prompt Engineering &amp; AI-Enabled Workflow • AI Adoption Strategies for Sales Enablement and Business Growth • Go-To-Market Strategy • Market Segmentation &amp; Positioning • Sales Team Coaching &amp; Performance Management • Strategic Partnerships &amp; Channel • Strategic Account Planning &amp; Expansion • Business Process Improvement • Primary Research &amp; Customer Discovery • Pricing &amp; Channel Strategy</w:t>
      </w:r>
    </w:p>
    <w:p>
      <w:pPr>
        <w:keepNext/>
        <w:jc w:val="center"/>
      </w:pPr>
      <w:r>
        <w:rPr>
          <w:rFonts w:asciiTheme="majorHAnsi" w:hAnsiTheme="majorHAnsi" w:cstheme="majorHAnsi"/>
          <w:b/>
          <w:bCs/>
          <w:u w:val="single"/>
        </w:rPr>
        <w:t xml:space="preserve">Technologies</w:t>
      </w:r>
      <w:r>
        <w:rPr>
          <w:rFonts w:asciiTheme="majorHAnsi" w:hAnsiTheme="majorHAnsi" w:cstheme="majorHAnsi"/>
          <w:b/>
          <w:bCs/>
        </w:rPr>
        <w:t xml:space="preserve">:</w:t>
      </w:r>
    </w:p>
    <w:p>
      <w:pPr>
        <w:jc w:val="center"/>
      </w:pPr>
      <w:r>
        <w:rPr>
          <w:rFonts w:asciiTheme="majorHAnsi" w:hAnsiTheme="majorHAnsi" w:cstheme="majorHAnsi"/>
        </w:rPr>
        <w:t xml:space="preserve">LinkedIn (Sales Navigator, Recruiter), Microsoft Copilot, Claude &amp; Claude Code (Sonnet 5.x / Opus 5 / Fable 5), OpenAI (GPT-5.6, Sol, Terra, Luna), Model Context Protocol (MCP) Servers, Notion, Marketo, Google Tag Manager, GCP, Microsoft Stack, Tableau (beginner), Gong, Clay, Explorium AI, Salesforce Dashboards, Apollo.io, Squarespace, HubSpot, Canva, Salesforce (Classic, Lightning), ZoomInfo, Trello, Miro, GitHub, Visual Studio &amp; VS Code, Microsoft Excel (VLOOKUPs, INDEX-MATCH-MATCH, XLOOKUP), Office-Place Collaboration Tools (Slack, MS Teams, Webex, Google Meet, Zoom), Demandbase</w:t>
      </w:r>
    </w:p>
    <w:p>
      <w:pPr>
        <w:pStyle w:val="Heading1"/>
        <w:keepNext/>
        <w:pBdr>
          <w:bottom w:val="single" w:sz="6" w:space="2" w:color="999999"/>
        </w:pBdr>
        <w:spacing w:before="240" w:after="100"/>
      </w:pPr>
      <w:r>
        <w:rPr>
          <w:rFonts w:asciiTheme="majorHAnsi" w:hAnsiTheme="majorHAnsi" w:cstheme="majorHAnsi"/>
          <w:b/>
          <w:bCs/>
          <w:color w:val="1F3864"/>
          <w:sz w:val="20"/>
          <w:szCs w:val="20"/>
        </w:rPr>
        <w:t xml:space="preserve">Education</w:t>
      </w:r>
    </w:p>
    <w:p>
      <w:pPr>
        <w:keepNext/>
        <w:spacing w:after="20"/>
      </w:pPr>
      <w:r>
        <w:rPr>
          <w:rFonts w:asciiTheme="majorHAnsi" w:hAnsiTheme="majorHAnsi" w:cstheme="majorHAnsi"/>
          <w:b/>
          <w:bCs/>
        </w:rPr>
        <w:t xml:space="preserve">University of Maine Business School</w:t>
      </w:r>
    </w:p>
    <w:p>
      <w:pPr>
        <w:spacing w:after="100"/>
      </w:pPr>
      <w:r>
        <w:rPr>
          <w:rFonts w:asciiTheme="majorHAnsi" w:hAnsiTheme="majorHAnsi" w:cstheme="majorHAnsi"/>
          <w:i/>
          <w:iCs/>
          <w:color w:val="444444"/>
        </w:rPr>
        <w:t xml:space="preserve">B.S., Double Major in Finance and Marketing | Spring 2018</w:t>
      </w:r>
    </w:p>
    <w:p>
      <w:pPr>
        <w:pStyle w:val="Heading1"/>
        <w:keepNext/>
        <w:pBdr>
          <w:bottom w:val="single" w:sz="6" w:space="2" w:color="999999"/>
        </w:pBdr>
        <w:spacing w:before="240" w:after="100"/>
      </w:pPr>
      <w:r>
        <w:rPr>
          <w:rFonts w:asciiTheme="majorHAnsi" w:hAnsiTheme="majorHAnsi" w:cstheme="majorHAnsi"/>
          <w:b/>
          <w:bCs/>
          <w:color w:val="1F3864"/>
          <w:sz w:val="20"/>
          <w:szCs w:val="20"/>
        </w:rPr>
        <w:t xml:space="preserve">Professional Experience</w:t>
      </w:r>
    </w:p>
    <w:p>
      <w:pPr>
        <w:keepNext/>
        <w:tabs>
          <w:tab w:val="right" w:pos="10440"/>
        </w:tabs>
      </w:pPr>
      <w:r>
        <w:rPr>
          <w:rFonts w:asciiTheme="majorHAnsi" w:hAnsiTheme="majorHAnsi" w:cstheme="majorHAnsi"/>
          <w:b/>
          <w:bCs/>
        </w:rPr>
        <w:t xml:space="preserve">Business Consultant - GTM Engineer &amp; Strategic Advisor | Strategic Market Insights (self-employed) |</w:t>
      </w:r>
      <w:r>
        <w:rPr>
          <w:rFonts w:asciiTheme="majorHAnsi" w:hAnsiTheme="majorHAnsi" w:cstheme="majorHAnsi"/>
        </w:rPr>
        <w:tab/>
      </w:r>
      <w:r>
        <w:rPr>
          <w:rFonts w:asciiTheme="majorHAnsi" w:hAnsiTheme="majorHAnsi" w:cstheme="majorHAnsi"/>
        </w:rPr>
        <w:t xml:space="preserve">July 2026 – Present</w:t>
      </w:r>
    </w:p>
    <w:p>
      <w:pPr>
        <w:keepNext/>
        <w:spacing w:after="100" w:line="276" w:lineRule="auto"/>
      </w:pPr>
      <w:r>
        <w:rPr>
          <w:rFonts w:asciiTheme="majorHAnsi" w:hAnsiTheme="majorHAnsi" w:cstheme="majorHAnsi"/>
          <w:color w:val="808080"/>
          <w:sz w:val="16"/>
          <w:szCs w:val="16"/>
        </w:rPr>
        <w:t xml:space="preserve">New York, NY · Advisory &amp; GTM engineering practice · Key Engagement: healthcare AI start-up (confidential)</w:t>
      </w:r>
    </w:p>
    <w:p>
      <w:pPr>
        <w:pStyle w:val="ListParagraph"/>
        <w:numPr>
          <w:ilvl w:val="0"/>
          <w:numId w:val="1"/>
        </w:numPr>
        <w:spacing w:after="80"/>
      </w:pPr>
      <w:r>
        <w:rPr>
          <w:rFonts w:asciiTheme="majorHAnsi" w:hAnsiTheme="majorHAnsi" w:cstheme="majorHAnsi"/>
        </w:rPr>
        <w:t xml:space="preserve">Leverage an IT-industry network across data, AI, and MarTech to open new opportunities as a GTM Engineer and Strategic Advisor.</w:t>
      </w:r>
    </w:p>
    <w:p>
      <w:pPr>
        <w:pStyle w:val="ListParagraph"/>
        <w:numPr>
          <w:ilvl w:val="0"/>
          <w:numId w:val="1"/>
        </w:numPr>
        <w:spacing w:after="80"/>
      </w:pPr>
      <w:r>
        <w:rPr>
          <w:rFonts w:asciiTheme="majorHAnsi" w:hAnsiTheme="majorHAnsi" w:cstheme="majorHAnsi"/>
        </w:rPr>
        <w:t xml:space="preserve">Own go-to-market for the client's AI compliance product sold to independent clinical practices — segmentation, positioning, $99/$249 tiers, and channel strategy.</w:t>
      </w:r>
    </w:p>
    <w:p>
      <w:pPr>
        <w:pStyle w:val="ListParagraph"/>
        <w:numPr>
          <w:ilvl w:val="0"/>
          <w:numId w:val="1"/>
        </w:numPr>
        <w:spacing w:after="80"/>
      </w:pPr>
      <w:r>
        <w:rPr>
          <w:rFonts w:asciiTheme="majorHAnsi" w:hAnsiTheme="majorHAnsi" w:cstheme="majorHAnsi"/>
        </w:rPr>
        <w:t xml:space="preserve">Built the practice's multi-tenant client engagement tracker with Claude Code, with 60 automated tests enforcing cross-client data isolation.</w:t>
      </w:r>
    </w:p>
    <w:p>
      <w:pPr>
        <w:pStyle w:val="ListParagraph"/>
        <w:numPr>
          <w:ilvl w:val="0"/>
          <w:numId w:val="1"/>
        </w:numPr>
        <w:spacing w:after="80"/>
      </w:pPr>
      <w:r>
        <w:rPr>
          <w:rFonts w:asciiTheme="majorHAnsi" w:hAnsiTheme="majorHAnsi" w:cstheme="majorHAnsi"/>
        </w:rPr>
        <w:t xml:space="preserve">Advised a healthcare technology start-up on IP ownership and equity tradeoffs across two funding routes: venture capital and government-funded SBIR research grants.</w:t>
      </w:r>
    </w:p>
    <w:p>
      <w:pPr>
        <w:pStyle w:val="ListParagraph"/>
        <w:numPr>
          <w:ilvl w:val="0"/>
          <w:numId w:val="1"/>
        </w:numPr>
        <w:spacing w:after="80"/>
      </w:pPr>
      <w:r>
        <w:rPr>
          <w:rFonts w:asciiTheme="majorHAnsi" w:hAnsiTheme="majorHAnsi" w:cstheme="majorHAnsi"/>
        </w:rPr>
        <w:t xml:space="preserve">Produced the collateral the client sells with: pitch deck, competitive battlecards, partner negotiation sheets, and an eight-document executive round table.</w:t>
      </w:r>
    </w:p>
    <w:p>
      <w:pPr>
        <w:pStyle w:val="ListParagraph"/>
        <w:numPr>
          <w:ilvl w:val="0"/>
          <w:numId w:val="1"/>
        </w:numPr>
        <w:spacing w:after="80"/>
      </w:pPr>
      <w:r>
        <w:rPr>
          <w:rFonts w:asciiTheme="majorHAnsi" w:hAnsiTheme="majorHAnsi" w:cstheme="majorHAnsi"/>
        </w:rPr>
        <w:t xml:space="preserve">Analyzed 15+ direct, platform-bundling, and affiliation competitors against venture base rates to size the raise at $1.5–3M and set go/no-go milestones.</w:t>
      </w:r>
    </w:p>
    <w:p>
      <w:pPr>
        <w:pStyle w:val="ListParagraph"/>
        <w:numPr>
          <w:ilvl w:val="0"/>
          <w:numId w:val="1"/>
        </w:numPr>
        <w:spacing w:after="80"/>
      </w:pPr>
      <w:r>
        <w:rPr>
          <w:rFonts w:asciiTheme="majorHAnsi" w:hAnsiTheme="majorHAnsi" w:cstheme="majorHAnsi"/>
        </w:rPr>
        <w:t xml:space="preserve">Built a phase-gated decision system — structured client intake, source-tagged evidence, and go/no-go criteria — to drive the engagement's analysis.</w:t>
      </w:r>
    </w:p>
    <w:p>
      <w:pPr>
        <w:pStyle w:val="ListParagraph"/>
        <w:numPr>
          <w:ilvl w:val="0"/>
          <w:numId w:val="1"/>
        </w:numPr>
        <w:spacing w:after="240"/>
      </w:pPr>
      <w:r>
        <w:rPr>
          <w:rFonts w:asciiTheme="majorHAnsi" w:hAnsiTheme="majorHAnsi" w:cstheme="majorHAnsi"/>
        </w:rPr>
        <w:t xml:space="preserve">Diagnosed data-sync failures from null values and missing governance rules, then enforced sync constraints via 60 automated tests.</w:t>
      </w:r>
    </w:p>
    <w:p>
      <w:pPr>
        <w:keepNext/>
        <w:tabs>
          <w:tab w:val="right" w:pos="10440"/>
        </w:tabs>
      </w:pPr>
      <w:r>
        <w:rPr>
          <w:rFonts w:asciiTheme="majorHAnsi" w:hAnsiTheme="majorHAnsi" w:cstheme="majorHAnsi"/>
          <w:b/>
          <w:bCs/>
        </w:rPr>
        <w:t xml:space="preserve">Advertising Sales Director - Pro-Division | Professional Sports Publications |</w:t>
      </w:r>
      <w:r>
        <w:rPr>
          <w:rFonts w:asciiTheme="majorHAnsi" w:hAnsiTheme="majorHAnsi" w:cstheme="majorHAnsi"/>
        </w:rPr>
        <w:tab/>
      </w:r>
      <w:r>
        <w:rPr>
          <w:rFonts w:asciiTheme="majorHAnsi" w:hAnsiTheme="majorHAnsi" w:cstheme="majorHAnsi"/>
        </w:rPr>
        <w:t xml:space="preserve">March 2026 – August 2026</w:t>
      </w:r>
    </w:p>
    <w:p>
      <w:pPr>
        <w:keepNext/>
        <w:spacing w:after="100" w:line="276" w:lineRule="auto"/>
      </w:pPr>
      <w:r>
        <w:rPr>
          <w:rFonts w:asciiTheme="majorHAnsi" w:hAnsiTheme="majorHAnsi" w:cstheme="majorHAnsi"/>
          <w:color w:val="808080"/>
          <w:sz w:val="16"/>
          <w:szCs w:val="16"/>
        </w:rPr>
        <w:t xml:space="preserve">New York, NY · Print-Media Advertising Agency supporting all major professional and university sports teams (yearbook and program ad placement)</w:t>
      </w:r>
    </w:p>
    <w:p>
      <w:pPr>
        <w:pStyle w:val="ListParagraph"/>
        <w:numPr>
          <w:ilvl w:val="0"/>
          <w:numId w:val="1"/>
        </w:numPr>
        <w:spacing w:after="80"/>
      </w:pPr>
      <w:r>
        <w:rPr>
          <w:rFonts w:asciiTheme="majorHAnsi" w:hAnsiTheme="majorHAnsi" w:cstheme="majorHAnsi"/>
        </w:rPr>
        <w:t xml:space="preserve">Produced pitch decks for university, building materials and supply, and automotive prospects, using reach, engagement, CPA, and CPM metrics to justify ad spend.</w:t>
      </w:r>
    </w:p>
    <w:p>
      <w:pPr>
        <w:pStyle w:val="ListParagraph"/>
        <w:numPr>
          <w:ilvl w:val="0"/>
          <w:numId w:val="1"/>
        </w:numPr>
        <w:spacing w:after="80"/>
      </w:pPr>
      <w:r>
        <w:rPr>
          <w:rFonts w:asciiTheme="majorHAnsi" w:hAnsiTheme="majorHAnsi" w:cstheme="majorHAnsi"/>
        </w:rPr>
        <w:t xml:space="preserve">Closed 5 signed NFL and MLB team-media partnerships, all paid in full at signing, including 2 accounts with no prior purchase history.</w:t>
      </w:r>
    </w:p>
    <w:p>
      <w:pPr>
        <w:pStyle w:val="ListParagraph"/>
        <w:numPr>
          <w:ilvl w:val="0"/>
          <w:numId w:val="1"/>
        </w:numPr>
        <w:spacing w:after="80"/>
      </w:pPr>
      <w:r>
        <w:rPr>
          <w:rFonts w:asciiTheme="majorHAnsi" w:hAnsiTheme="majorHAnsi" w:cstheme="majorHAnsi"/>
        </w:rPr>
        <w:t xml:space="preserve">Qualified every prospect against the budget that can fund it — co-op, MDF, sponsorship, and 501(c)(3) dollars — opening 2 net-new accounts.</w:t>
      </w:r>
    </w:p>
    <w:p>
      <w:pPr>
        <w:pStyle w:val="ListParagraph"/>
        <w:numPr>
          <w:ilvl w:val="0"/>
          <w:numId w:val="1"/>
        </w:numPr>
        <w:spacing w:after="80"/>
      </w:pPr>
      <w:r>
        <w:rPr>
          <w:rFonts w:asciiTheme="majorHAnsi" w:hAnsiTheme="majorHAnsi" w:cstheme="majorHAnsi"/>
        </w:rPr>
        <w:t xml:space="preserve">Authored a board-ready memo framing a $3,500 ask against 419 member businesses and 130K+ readers, written as the champion's own document.</w:t>
      </w:r>
    </w:p>
    <w:p>
      <w:pPr>
        <w:pStyle w:val="ListParagraph"/>
        <w:numPr>
          <w:ilvl w:val="0"/>
          <w:numId w:val="1"/>
        </w:numPr>
        <w:spacing w:after="80"/>
      </w:pPr>
      <w:r>
        <w:rPr>
          <w:rFonts w:asciiTheme="majorHAnsi" w:hAnsiTheme="majorHAnsi" w:cstheme="majorHAnsi"/>
        </w:rPr>
        <w:t xml:space="preserve">Built and maintained a ~$115K active proposal pipeline through a diagnostic, discovery-first approach rather than a pitch-led one.</w:t>
      </w:r>
    </w:p>
    <w:p>
      <w:pPr>
        <w:pStyle w:val="ListParagraph"/>
        <w:numPr>
          <w:ilvl w:val="0"/>
          <w:numId w:val="1"/>
        </w:numPr>
        <w:spacing w:after="240"/>
      </w:pPr>
      <w:r>
        <w:rPr>
          <w:rFonts w:asciiTheme="majorHAnsi" w:hAnsiTheme="majorHAnsi" w:cstheme="majorHAnsi"/>
        </w:rPr>
        <w:t xml:space="preserve">Restructured nine property-level commitments into one shared-cost regional placement across competing budget owners with no single decision-maker.</w:t>
      </w:r>
    </w:p>
    <w:p>
      <w:pPr>
        <w:keepNext/>
        <w:tabs>
          <w:tab w:val="right" w:pos="10440"/>
        </w:tabs>
      </w:pPr>
      <w:r>
        <w:rPr>
          <w:rFonts w:asciiTheme="majorHAnsi" w:hAnsiTheme="majorHAnsi" w:cstheme="majorHAnsi"/>
          <w:b/>
          <w:bCs/>
        </w:rPr>
        <w:t xml:space="preserve">Financial Services Professional | New York Life Insurance Company |</w:t>
      </w:r>
      <w:r>
        <w:rPr>
          <w:rFonts w:asciiTheme="majorHAnsi" w:hAnsiTheme="majorHAnsi" w:cstheme="majorHAnsi"/>
        </w:rPr>
        <w:tab/>
      </w:r>
      <w:r>
        <w:rPr>
          <w:rFonts w:asciiTheme="majorHAnsi" w:hAnsiTheme="majorHAnsi" w:cstheme="majorHAnsi"/>
        </w:rPr>
        <w:t xml:space="preserve">December 2025 – March 2026</w:t>
      </w:r>
    </w:p>
    <w:p>
      <w:pPr>
        <w:keepNext/>
        <w:spacing w:after="100" w:line="276" w:lineRule="auto"/>
      </w:pPr>
      <w:r>
        <w:rPr>
          <w:rFonts w:asciiTheme="majorHAnsi" w:hAnsiTheme="majorHAnsi" w:cstheme="majorHAnsi"/>
          <w:color w:val="808080"/>
          <w:sz w:val="16"/>
          <w:szCs w:val="16"/>
        </w:rPr>
        <w:t xml:space="preserve">New York, NY</w:t>
      </w:r>
    </w:p>
    <w:p>
      <w:pPr>
        <w:pStyle w:val="ListParagraph"/>
        <w:numPr>
          <w:ilvl w:val="0"/>
          <w:numId w:val="1"/>
        </w:numPr>
        <w:spacing w:after="80"/>
      </w:pPr>
      <w:r>
        <w:rPr>
          <w:rFonts w:asciiTheme="majorHAnsi" w:hAnsiTheme="majorHAnsi" w:cstheme="majorHAnsi"/>
        </w:rPr>
        <w:t xml:space="preserve">Conducted needs-based assessments on long-term financial, beneficiary, and legacy objectives in estate- and tax-planning terms.</w:t>
      </w:r>
    </w:p>
    <w:p>
      <w:pPr>
        <w:pStyle w:val="ListParagraph"/>
        <w:numPr>
          <w:ilvl w:val="0"/>
          <w:numId w:val="1"/>
        </w:numPr>
        <w:spacing w:after="240"/>
      </w:pPr>
      <w:r>
        <w:rPr>
          <w:rFonts w:asciiTheme="majorHAnsi" w:hAnsiTheme="majorHAnsi" w:cstheme="majorHAnsi"/>
        </w:rPr>
        <w:t xml:space="preserve">Developed a referral-based book of business through networking, community involvement, and constituent introductions.</w:t>
      </w:r>
    </w:p>
    <w:p>
      <w:pPr>
        <w:keepNext/>
        <w:tabs>
          <w:tab w:val="right" w:pos="10440"/>
        </w:tabs>
      </w:pPr>
      <w:r>
        <w:rPr>
          <w:rFonts w:asciiTheme="majorHAnsi" w:hAnsiTheme="majorHAnsi" w:cstheme="majorHAnsi"/>
          <w:b/>
          <w:bCs/>
        </w:rPr>
        <w:t xml:space="preserve">Specialized Lead - Data Analytics &amp; Insights | TEKsystems |</w:t>
      </w:r>
      <w:r>
        <w:rPr>
          <w:rFonts w:asciiTheme="majorHAnsi" w:hAnsiTheme="majorHAnsi" w:cstheme="majorHAnsi"/>
        </w:rPr>
        <w:tab/>
      </w:r>
      <w:r>
        <w:rPr>
          <w:rFonts w:asciiTheme="majorHAnsi" w:hAnsiTheme="majorHAnsi" w:cstheme="majorHAnsi"/>
        </w:rPr>
        <w:t xml:space="preserve">2024 – November 2025</w:t>
      </w:r>
    </w:p>
    <w:p>
      <w:pPr>
        <w:keepNext/>
        <w:spacing w:after="100" w:line="276" w:lineRule="auto"/>
      </w:pPr>
      <w:r>
        <w:rPr>
          <w:rFonts w:asciiTheme="majorHAnsi" w:hAnsiTheme="majorHAnsi" w:cstheme="majorHAnsi"/>
          <w:color w:val="808080"/>
          <w:sz w:val="16"/>
          <w:szCs w:val="16"/>
        </w:rPr>
        <w:t xml:space="preserve">New York, NY · Top firm for I.T. Staffing &amp; Managed Services with flexible engagement types that work with 85% of Fortune 500 companies</w:t>
      </w:r>
    </w:p>
    <w:p>
      <w:pPr>
        <w:pStyle w:val="ListParagraph"/>
        <w:numPr>
          <w:ilvl w:val="0"/>
          <w:numId w:val="1"/>
        </w:numPr>
        <w:spacing w:after="80"/>
      </w:pPr>
      <w:r>
        <w:rPr>
          <w:rFonts w:asciiTheme="majorHAnsi" w:hAnsiTheme="majorHAnsi" w:cstheme="majorHAnsi"/>
        </w:rPr>
        <w:t xml:space="preserve">Onboarded 3 Data Science and ML consultants to a Southern Company Gas flex services engagement, then ran monthly 1:1s to keep delivery on track.</w:t>
      </w:r>
    </w:p>
    <w:p>
      <w:pPr>
        <w:pStyle w:val="ListParagraph"/>
        <w:numPr>
          <w:ilvl w:val="0"/>
          <w:numId w:val="1"/>
        </w:numPr>
        <w:spacing w:after="80"/>
      </w:pPr>
      <w:r>
        <w:rPr>
          <w:rFonts w:asciiTheme="majorHAnsi" w:hAnsiTheme="majorHAnsi" w:cstheme="majorHAnsi"/>
        </w:rPr>
        <w:t xml:space="preserve">Led monthly 1:1s with onboarded solution architects on Universal Parks &amp; Experiences' managed services deal, surfacing workstream gaps and driving fixes with Customer Success and BD.</w:t>
      </w:r>
    </w:p>
    <w:p>
      <w:pPr>
        <w:pStyle w:val="ListParagraph"/>
        <w:numPr>
          <w:ilvl w:val="0"/>
          <w:numId w:val="1"/>
        </w:numPr>
        <w:spacing w:after="80"/>
      </w:pPr>
      <w:r>
        <w:rPr>
          <w:rFonts w:asciiTheme="majorHAnsi" w:hAnsiTheme="majorHAnsi" w:cstheme="majorHAnsi"/>
        </w:rPr>
        <w:t xml:space="preserve">Built an IT network across data, AI, BI, MarTech, solutions architecture, and data science that produced multiple referral-sourced deals closed at Southern Gas Company.</w:t>
      </w:r>
    </w:p>
    <w:p>
      <w:pPr>
        <w:pStyle w:val="ListParagraph"/>
        <w:numPr>
          <w:ilvl w:val="0"/>
          <w:numId w:val="1"/>
        </w:numPr>
        <w:spacing w:after="80"/>
      </w:pPr>
      <w:r>
        <w:rPr>
          <w:rFonts w:asciiTheme="majorHAnsi" w:hAnsiTheme="majorHAnsi" w:cstheme="majorHAnsi"/>
        </w:rPr>
        <w:t xml:space="preserve">Scoped and positioned AI, data, and cloud solutions — graph, Adobe Enterprise Suite, Azure, computer vision — translating capability into commercial terms.</w:t>
      </w:r>
    </w:p>
    <w:p>
      <w:pPr>
        <w:pStyle w:val="ListParagraph"/>
        <w:numPr>
          <w:ilvl w:val="0"/>
          <w:numId w:val="1"/>
        </w:numPr>
        <w:spacing w:after="80"/>
      </w:pPr>
      <w:r>
        <w:rPr>
          <w:rFonts w:asciiTheme="majorHAnsi" w:hAnsiTheme="majorHAnsi" w:cstheme="majorHAnsi"/>
        </w:rPr>
        <w:t xml:space="preserve">Sourced and staffed 8 solution architects across 8 workstreams on a 12-18 month renewable managed services engagement worth $1M annually.</w:t>
      </w:r>
    </w:p>
    <w:p>
      <w:pPr>
        <w:pStyle w:val="ListParagraph"/>
        <w:numPr>
          <w:ilvl w:val="0"/>
          <w:numId w:val="1"/>
        </w:numPr>
        <w:spacing w:after="80"/>
      </w:pPr>
      <w:r>
        <w:rPr>
          <w:rFonts w:asciiTheme="majorHAnsi" w:hAnsiTheme="majorHAnsi" w:cstheme="majorHAnsi"/>
        </w:rPr>
        <w:t xml:space="preserve">Led discovery directly with Southern Company Gas's Center of Excellence on data science, machine learning, and data governance.</w:t>
      </w:r>
    </w:p>
    <w:p>
      <w:pPr>
        <w:pStyle w:val="ListParagraph"/>
        <w:numPr>
          <w:ilvl w:val="0"/>
          <w:numId w:val="1"/>
        </w:numPr>
        <w:spacing w:after="240"/>
      </w:pPr>
      <w:r>
        <w:rPr>
          <w:rFonts w:asciiTheme="majorHAnsi" w:hAnsiTheme="majorHAnsi" w:cstheme="majorHAnsi"/>
        </w:rPr>
        <w:t xml:space="preserve">Led a team of up to 5 direct reports inside a 30-person practice, coaching performance through daily process reviews and 1:1 metric sessions.</w:t>
      </w:r>
    </w:p>
    <w:p>
      <w:pPr>
        <w:keepNext/>
        <w:tabs>
          <w:tab w:val="right" w:pos="10440"/>
        </w:tabs>
      </w:pPr>
      <w:r>
        <w:rPr>
          <w:rFonts w:asciiTheme="majorHAnsi" w:hAnsiTheme="majorHAnsi" w:cstheme="majorHAnsi"/>
          <w:b/>
          <w:bCs/>
        </w:rPr>
        <w:t xml:space="preserve">Enterprise Recruiter – Global Services Division | TEKsystems |</w:t>
      </w:r>
      <w:r>
        <w:rPr>
          <w:rFonts w:asciiTheme="majorHAnsi" w:hAnsiTheme="majorHAnsi" w:cstheme="majorHAnsi"/>
        </w:rPr>
        <w:tab/>
      </w:r>
      <w:r>
        <w:rPr>
          <w:rFonts w:asciiTheme="majorHAnsi" w:hAnsiTheme="majorHAnsi" w:cstheme="majorHAnsi"/>
        </w:rPr>
        <w:t xml:space="preserve">2021 – 2024</w:t>
      </w:r>
    </w:p>
    <w:p>
      <w:pPr>
        <w:keepNext/>
        <w:spacing w:after="100" w:line="276" w:lineRule="auto"/>
      </w:pPr>
      <w:r>
        <w:rPr>
          <w:rFonts w:asciiTheme="majorHAnsi" w:hAnsiTheme="majorHAnsi" w:cstheme="majorHAnsi"/>
          <w:color w:val="808080"/>
          <w:sz w:val="16"/>
          <w:szCs w:val="16"/>
        </w:rPr>
        <w:t xml:space="preserve">Boston, MA · Top firm for I.T. Staffing &amp; Managed Services with flexible engagement types that work with 85% of Fortune 500 companies</w:t>
      </w:r>
    </w:p>
    <w:p>
      <w:pPr>
        <w:pStyle w:val="ListParagraph"/>
        <w:numPr>
          <w:ilvl w:val="0"/>
          <w:numId w:val="1"/>
        </w:numPr>
        <w:spacing w:after="80"/>
      </w:pPr>
      <w:r>
        <w:rPr>
          <w:rFonts w:asciiTheme="majorHAnsi" w:hAnsiTheme="majorHAnsi" w:cstheme="majorHAnsi"/>
        </w:rPr>
        <w:t xml:space="preserve">Partnered with Nike's global supply chain team on in-season optimization, delivering an AI-powered document system.</w:t>
      </w:r>
    </w:p>
    <w:p>
      <w:pPr>
        <w:pStyle w:val="ListParagraph"/>
        <w:numPr>
          <w:ilvl w:val="0"/>
          <w:numId w:val="1"/>
        </w:numPr>
        <w:spacing w:after="80"/>
      </w:pPr>
      <w:r>
        <w:rPr>
          <w:rFonts w:asciiTheme="majorHAnsi" w:hAnsiTheme="majorHAnsi" w:cstheme="majorHAnsi"/>
        </w:rPr>
        <w:t xml:space="preserve">Opened net-new managed services accounts at Wayfair and Disney's ESPN and Entertainment Technology organization from cold.</w:t>
      </w:r>
    </w:p>
    <w:p>
      <w:pPr>
        <w:pStyle w:val="ListParagraph"/>
        <w:numPr>
          <w:ilvl w:val="0"/>
          <w:numId w:val="1"/>
        </w:numPr>
        <w:spacing w:after="80"/>
      </w:pPr>
      <w:r>
        <w:rPr>
          <w:rFonts w:asciiTheme="majorHAnsi" w:hAnsiTheme="majorHAnsi" w:cstheme="majorHAnsi"/>
        </w:rPr>
        <w:t xml:space="preserve">Produced more than half the revenue on Vertex Pharmaceuticals, the firm's largest regional growth account, and expanded into two new groups.</w:t>
      </w:r>
    </w:p>
    <w:p>
      <w:pPr>
        <w:pStyle w:val="ListParagraph"/>
        <w:numPr>
          <w:ilvl w:val="0"/>
          <w:numId w:val="1"/>
        </w:numPr>
        <w:spacing w:after="240"/>
      </w:pPr>
      <w:r>
        <w:rPr>
          <w:rFonts w:asciiTheme="majorHAnsi" w:hAnsiTheme="majorHAnsi" w:cstheme="majorHAnsi"/>
        </w:rPr>
        <w:t xml:space="preserve">Sourced, screened, and onboarded enterprise technical talent at scale across four years of professional recruiting.</w:t>
      </w:r>
    </w:p>
    <w:p>
      <w:pPr>
        <w:keepNext/>
        <w:tabs>
          <w:tab w:val="right" w:pos="10440"/>
        </w:tabs>
      </w:pPr>
      <w:r>
        <w:rPr>
          <w:rFonts w:asciiTheme="majorHAnsi" w:hAnsiTheme="majorHAnsi" w:cstheme="majorHAnsi"/>
          <w:b/>
          <w:bCs/>
        </w:rPr>
        <w:t xml:space="preserve">Sales Development Representative / Inside Sales Rep | demandDrive (Amazon Business &amp; RealPage) |</w:t>
      </w:r>
      <w:r>
        <w:rPr>
          <w:rFonts w:asciiTheme="majorHAnsi" w:hAnsiTheme="majorHAnsi" w:cstheme="majorHAnsi"/>
        </w:rPr>
        <w:tab/>
      </w:r>
      <w:r>
        <w:rPr>
          <w:rFonts w:asciiTheme="majorHAnsi" w:hAnsiTheme="majorHAnsi" w:cstheme="majorHAnsi"/>
        </w:rPr>
        <w:t xml:space="preserve">2018 – 2021</w:t>
      </w:r>
    </w:p>
    <w:p>
      <w:pPr>
        <w:keepNext/>
        <w:spacing w:after="100" w:line="276" w:lineRule="auto"/>
      </w:pPr>
      <w:r>
        <w:rPr>
          <w:rFonts w:asciiTheme="majorHAnsi" w:hAnsiTheme="majorHAnsi" w:cstheme="majorHAnsi"/>
          <w:color w:val="808080"/>
          <w:sz w:val="16"/>
          <w:szCs w:val="16"/>
        </w:rPr>
        <w:t xml:space="preserve">Waltham, MA · Outsourced SDR and Sales Representative firm. Key Engagements: SaaS product Propertyware for RealPage, Amazon Key for Business launch</w:t>
      </w:r>
    </w:p>
    <w:p>
      <w:pPr>
        <w:pStyle w:val="ListParagraph"/>
        <w:numPr>
          <w:ilvl w:val="0"/>
          <w:numId w:val="1"/>
        </w:numPr>
        <w:spacing w:after="80"/>
      </w:pPr>
      <w:r>
        <w:rPr>
          <w:rFonts w:asciiTheme="majorHAnsi" w:hAnsiTheme="majorHAnsi" w:cstheme="majorHAnsi"/>
        </w:rPr>
        <w:t xml:space="preserve">Ran a sequenced Marketo campaign targeting competitor-aligned audiences, driving inbound demand and more qualified meetings through pain-point messaging.</w:t>
      </w:r>
    </w:p>
    <w:p>
      <w:pPr>
        <w:pStyle w:val="ListParagraph"/>
        <w:numPr>
          <w:ilvl w:val="0"/>
          <w:numId w:val="1"/>
        </w:numPr>
        <w:spacing w:after="240"/>
      </w:pPr>
      <w:r>
        <w:rPr>
          <w:rFonts w:asciiTheme="majorHAnsi" w:hAnsiTheme="majorHAnsi" w:cstheme="majorHAnsi"/>
        </w:rPr>
        <w:t xml:space="preserve">Authored a territory-realignment and post-close operations model adopted company-wide, credited with 150% growth in the Amazon Key for Business launch.</w:t>
      </w:r>
    </w:p>
    <w:p>
      <w:pPr>
        <w:pStyle w:val="Heading1"/>
        <w:keepNext/>
        <w:pBdr>
          <w:bottom w:val="single" w:sz="6" w:space="2" w:color="999999"/>
        </w:pBdr>
        <w:spacing w:before="240" w:after="100"/>
      </w:pPr>
      <w:r>
        <w:rPr>
          <w:rFonts w:asciiTheme="majorHAnsi" w:hAnsiTheme="majorHAnsi" w:cstheme="majorHAnsi"/>
          <w:b/>
          <w:bCs/>
          <w:color w:val="1F3864"/>
          <w:sz w:val="20"/>
          <w:szCs w:val="20"/>
        </w:rPr>
        <w:t xml:space="preserve">Credentialing &amp; Certifications</w:t>
      </w:r>
    </w:p>
    <w:p>
      <w:pPr>
        <w:numPr>
          <w:ilvl w:val="0"/>
          <w:numId w:val="5"/>
        </w:numPr>
        <w:spacing w:after="40" w:line="250" w:lineRule="auto"/>
      </w:pPr>
      <w:r>
        <w:rPr>
          <w:rFonts w:asciiTheme="majorHAnsi" w:hAnsiTheme="majorHAnsi" w:cstheme="majorHAnsi"/>
          <w:b/>
          <w:bCs/>
        </w:rPr>
        <w:t xml:space="preserve">Data Analytics &amp; Insights: Data Insights</w:t>
      </w:r>
      <w:r>
        <w:rPr>
          <w:rFonts w:asciiTheme="majorHAnsi" w:hAnsiTheme="majorHAnsi" w:cstheme="majorHAnsi"/>
        </w:rPr>
        <w:t xml:space="preserve"> — TEKsystems</w:t>
      </w:r>
    </w:p>
    <w:p>
      <w:pPr>
        <w:numPr>
          <w:ilvl w:val="0"/>
          <w:numId w:val="5"/>
        </w:numPr>
        <w:spacing w:after="40" w:line="250" w:lineRule="auto"/>
      </w:pPr>
      <w:r>
        <w:rPr>
          <w:rFonts w:asciiTheme="majorHAnsi" w:hAnsiTheme="majorHAnsi" w:cstheme="majorHAnsi"/>
          <w:b/>
          <w:bCs/>
        </w:rPr>
        <w:t xml:space="preserve">Claude 101 Certification</w:t>
      </w:r>
      <w:r>
        <w:rPr>
          <w:rFonts w:asciiTheme="majorHAnsi" w:hAnsiTheme="majorHAnsi" w:cstheme="majorHAnsi"/>
        </w:rPr>
        <w:t xml:space="preserve"> — Anthropic</w:t>
      </w:r>
    </w:p>
    <w:p>
      <w:pPr>
        <w:numPr>
          <w:ilvl w:val="0"/>
          <w:numId w:val="5"/>
        </w:numPr>
        <w:spacing w:after="40" w:line="250" w:lineRule="auto"/>
      </w:pPr>
      <w:r>
        <w:rPr>
          <w:rFonts w:asciiTheme="majorHAnsi" w:hAnsiTheme="majorHAnsi" w:cstheme="majorHAnsi"/>
          <w:b/>
          <w:bCs/>
        </w:rPr>
        <w:t xml:space="preserve">Claude Code 101 Certification</w:t>
      </w:r>
      <w:r>
        <w:rPr>
          <w:rFonts w:asciiTheme="majorHAnsi" w:hAnsiTheme="majorHAnsi" w:cstheme="majorHAnsi"/>
        </w:rPr>
        <w:t xml:space="preserve"> — Anthropic</w:t>
      </w:r>
    </w:p>
    <w:p>
      <w:pPr>
        <w:numPr>
          <w:ilvl w:val="0"/>
          <w:numId w:val="5"/>
        </w:numPr>
        <w:spacing w:after="40" w:line="250" w:lineRule="auto"/>
      </w:pPr>
      <w:r>
        <w:rPr>
          <w:rFonts w:asciiTheme="majorHAnsi" w:hAnsiTheme="majorHAnsi" w:cstheme="majorHAnsi"/>
          <w:b/>
          <w:bCs/>
        </w:rPr>
        <w:t xml:space="preserve">Claude for CoWork</w:t>
      </w:r>
      <w:r>
        <w:rPr>
          <w:rFonts w:asciiTheme="majorHAnsi" w:hAnsiTheme="majorHAnsi" w:cstheme="majorHAnsi"/>
        </w:rPr>
        <w:t xml:space="preserve"> — Anthropic</w:t>
      </w:r>
      <w:r>
        <w:rPr>
          <w:rFonts w:asciiTheme="majorHAnsi" w:hAnsiTheme="majorHAnsi" w:cstheme="majorHAnsi"/>
          <w:i/>
          <w:iCs/>
          <w:color w:val="404040"/>
        </w:rPr>
        <w:t xml:space="preserve"> (In Progress)</w:t>
      </w:r>
    </w:p>
    <w:p>
      <w:pPr>
        <w:pStyle w:val="Heading1"/>
        <w:keepNext/>
        <w:pBdr>
          <w:bottom w:val="single" w:sz="6" w:space="2" w:color="999999"/>
        </w:pBdr>
        <w:spacing w:before="240" w:after="100"/>
      </w:pPr>
      <w:r>
        <w:rPr>
          <w:rFonts w:asciiTheme="majorHAnsi" w:hAnsiTheme="majorHAnsi" w:cstheme="majorHAnsi"/>
          <w:b/>
          <w:bCs/>
          <w:color w:val="1F3864"/>
          <w:sz w:val="20"/>
          <w:szCs w:val="20"/>
        </w:rPr>
        <w:t xml:space="preserve">Business Consulting Engagements</w:t>
      </w:r>
    </w:p>
    <w:p>
      <w:pPr>
        <w:keepNext/>
        <w:spacing w:after="80"/>
      </w:pPr>
      <w:r>
        <w:rPr>
          <w:rFonts w:asciiTheme="majorHAnsi" w:hAnsiTheme="majorHAnsi" w:cstheme="majorHAnsi"/>
          <w:b/>
          <w:bCs/>
        </w:rPr>
        <w:t xml:space="preserve">Healthcare Technology Start-Up (Confidential)</w:t>
      </w:r>
      <w:r>
        <w:rPr>
          <w:rFonts w:asciiTheme="majorHAnsi" w:hAnsiTheme="majorHAnsi" w:cstheme="majorHAnsi"/>
          <w:b/>
          <w:bCs/>
          <w:i/>
          <w:iCs/>
        </w:rPr>
        <w:t xml:space="preserve"> | New York, NY |</w:t>
      </w:r>
      <w:r>
        <w:rPr>
          <w:rFonts w:asciiTheme="majorHAnsi" w:hAnsiTheme="majorHAnsi" w:cstheme="majorHAnsi"/>
          <w:b/>
          <w:bCs/>
        </w:rPr>
        <w:t xml:space="preserve"> July 2026 – Present</w:t>
      </w:r>
      <w:r>
        <w:rPr>
          <w:rFonts w:asciiTheme="majorHAnsi" w:hAnsiTheme="majorHAnsi" w:cstheme="majorHAnsi"/>
        </w:rPr>
        <w:t xml:space="preserve"> (Part Time)</w:t>
      </w:r>
    </w:p>
    <w:p>
      <w:pPr>
        <w:keepNext/>
        <w:spacing w:after="80"/>
      </w:pPr>
      <w:r>
        <w:rPr>
          <w:rFonts w:asciiTheme="majorHAnsi" w:hAnsiTheme="majorHAnsi" w:cstheme="majorHAnsi"/>
          <w:i/>
          <w:iCs/>
        </w:rPr>
        <w:t xml:space="preserve">Principal Business Strategist – GTM Plan, Business Architectural Roadmap, Blueprint to Obtain Necessary Funding – Healthcare FinTech Start-Up</w:t>
      </w:r>
    </w:p>
    <w:p>
      <w:pPr>
        <w:pStyle w:val="ListParagraph"/>
        <w:numPr>
          <w:ilvl w:val="0"/>
          <w:numId w:val="5"/>
        </w:numPr>
        <w:spacing w:after="40" w:line="250" w:lineRule="auto"/>
        <w:contextualSpacing w:val="0"/>
      </w:pPr>
      <w:r>
        <w:rPr>
          <w:rFonts w:asciiTheme="majorHAnsi" w:hAnsiTheme="majorHAnsi" w:cstheme="majorHAnsi"/>
        </w:rPr>
        <w:t xml:space="preserve">Own go-to-market for an AI compliance product sold into independent clinical practices — segmentation, positioning, pricing tiers ($99/$249), channel strategy, and the sequencing that determines which motion gets funded first.</w:t>
      </w:r>
    </w:p>
    <w:p>
      <w:pPr>
        <w:pStyle w:val="ListParagraph"/>
        <w:numPr>
          <w:ilvl w:val="0"/>
          <w:numId w:val="5"/>
        </w:numPr>
        <w:spacing w:after="40" w:line="250" w:lineRule="auto"/>
        <w:contextualSpacing w:val="0"/>
      </w:pPr>
      <w:r>
        <w:rPr>
          <w:rFonts w:asciiTheme="majorHAnsi" w:hAnsiTheme="majorHAnsi" w:cstheme="majorHAnsi"/>
        </w:rPr>
        <w:t xml:space="preserve">Advised a healthcare technology start-up on IP ownership and equity tradeoffs while it weighed two funding routes: venture capital and government-funded research through SBIR grants, clarifying what each route meant for ownership.</w:t>
      </w:r>
    </w:p>
    <w:p>
      <w:pPr>
        <w:pStyle w:val="ListParagraph"/>
        <w:numPr>
          <w:ilvl w:val="0"/>
          <w:numId w:val="5"/>
        </w:numPr>
        <w:spacing w:after="40" w:line="250" w:lineRule="auto"/>
        <w:contextualSpacing w:val="0"/>
      </w:pPr>
      <w:r>
        <w:rPr>
          <w:rFonts w:asciiTheme="majorHAnsi" w:hAnsiTheme="majorHAnsi" w:cstheme="majorHAnsi"/>
        </w:rPr>
        <w:t xml:space="preserve">Built the multi-tenant, role-scoped client engagement tracker that runs the advisory practice using Claude Code — including 60 automated tests asserting cross-client data isolation — with no prior engineering background.</w:t>
      </w:r>
    </w:p>
    <w:p>
      <w:pPr>
        <w:pStyle w:val="ListParagraph"/>
        <w:numPr>
          <w:ilvl w:val="0"/>
          <w:numId w:val="5"/>
        </w:numPr>
        <w:spacing w:after="40" w:line="250" w:lineRule="auto"/>
        <w:contextualSpacing w:val="0"/>
      </w:pPr>
      <w:r>
        <w:rPr>
          <w:rFonts w:asciiTheme="majorHAnsi" w:hAnsiTheme="majorHAnsi" w:cstheme="majorHAnsi"/>
        </w:rPr>
        <w:t xml:space="preserve">Produced the customer- and investor-facing collateral the company now sells with: pitch deck, competitive battlecards, partner negotiation sheets, and an eight-document executive round table with per-presentation talking points.</w:t>
      </w:r>
    </w:p>
    <w:p>
      <w:pPr>
        <w:pStyle w:val="ListParagraph"/>
        <w:numPr>
          <w:ilvl w:val="0"/>
          <w:numId w:val="5"/>
        </w:numPr>
        <w:spacing w:after="40" w:line="250" w:lineRule="auto"/>
        <w:contextualSpacing w:val="0"/>
      </w:pPr>
      <w:r>
        <w:rPr>
          <w:rFonts w:asciiTheme="majorHAnsi" w:hAnsiTheme="majorHAnsi" w:cstheme="majorHAnsi"/>
        </w:rPr>
        <w:t xml:space="preserve">Ran financial forecasting (P&amp;L, tool-stack cost model, Year-1 ARR band) and barriers-to-entry analysis to price strategic alternatives before capital committed; recommended a ~$2.15M non-dilutive federal funding route over an equity raise, tied to a dated decision gate.</w:t>
      </w:r>
    </w:p>
    <w:p>
      <w:pPr>
        <w:pStyle w:val="ListParagraph"/>
        <w:numPr>
          <w:ilvl w:val="0"/>
          <w:numId w:val="5"/>
        </w:numPr>
        <w:spacing w:after="40" w:line="250" w:lineRule="auto"/>
        <w:contextualSpacing w:val="0"/>
      </w:pPr>
      <w:r>
        <w:rPr>
          <w:rFonts w:asciiTheme="majorHAnsi" w:hAnsiTheme="majorHAnsi" w:cstheme="majorHAnsi"/>
        </w:rPr>
        <w:t xml:space="preserve">Mapped a $0.76B category projected to reach $5.9B by 2035 (22.8% CAGR), benchmarked five direct comparables across four structural models, and built a decision tree of four exit paths with base-rate odds attached — including the cautionary comparable that won regulatory clearance and still failed on commercialization.</w:t>
      </w:r>
    </w:p>
    <w:p>
      <w:pPr>
        <w:pStyle w:val="ListParagraph"/>
        <w:numPr>
          <w:ilvl w:val="0"/>
          <w:numId w:val="5"/>
        </w:numPr>
        <w:spacing w:after="40" w:line="250" w:lineRule="auto"/>
        <w:contextualSpacing w:val="0"/>
      </w:pPr>
      <w:r>
        <w:rPr>
          <w:rFonts w:asciiTheme="majorHAnsi" w:hAnsiTheme="majorHAnsi" w:cstheme="majorHAnsi"/>
        </w:rPr>
        <w:t xml:space="preserve">Designed and launched a 30–40 interview customer discovery sprint to size real addressable demand — screener, interview guide, scoring rubric, and 150-practice candidate universe built from scratch — classifying prospects by platform dependence against a pre-agreed threshold that fires a documented kill/pivot decision instead of a debate.</w:t>
      </w:r>
    </w:p>
    <w:p>
      <w:pPr>
        <w:pStyle w:val="ListParagraph"/>
        <w:numPr>
          <w:ilvl w:val="0"/>
          <w:numId w:val="5"/>
        </w:numPr>
        <w:spacing w:after="40" w:line="250" w:lineRule="auto"/>
        <w:contextualSpacing w:val="0"/>
      </w:pPr>
      <w:r>
        <w:rPr>
          <w:rFonts w:asciiTheme="majorHAnsi" w:hAnsiTheme="majorHAnsi" w:cstheme="majorHAnsi"/>
        </w:rPr>
        <w:t xml:space="preserve">Concluded that distribution — not product — decides the outcome, redirecting GTM toward malpractice-carrier and professional-association channel partnerships after modeling that a direct human sales motion cannot carry a 12–18 month CAC payback at those price points.</w:t>
      </w:r>
    </w:p>
    <w:p>
      <w:pPr>
        <w:pStyle w:val="ListParagraph"/>
        <w:numPr>
          <w:ilvl w:val="0"/>
          <w:numId w:val="5"/>
        </w:numPr>
        <w:spacing w:after="160" w:line="250" w:lineRule="auto"/>
        <w:contextualSpacing w:val="0"/>
      </w:pPr>
      <w:r>
        <w:rPr>
          <w:rFonts w:asciiTheme="majorHAnsi" w:hAnsiTheme="majorHAnsi" w:cstheme="majorHAnsi"/>
        </w:rPr>
        <w:t xml:space="preserve">Set the unit-economic gates the motion is now measured against: blended CAC under $900, payback under 12 months, monthly churn under 5%, time-to-first-value under 7 days.</w:t>
      </w:r>
    </w:p>
    <w:p>
      <w:pPr>
        <w:keepNext/>
        <w:spacing w:after="80"/>
      </w:pPr>
      <w:r>
        <w:rPr>
          <w:rFonts w:asciiTheme="majorHAnsi" w:hAnsiTheme="majorHAnsi" w:cstheme="majorHAnsi"/>
          <w:b/>
          <w:bCs/>
        </w:rPr>
        <w:t xml:space="preserve">HVAC Services Firm (Confidential)</w:t>
      </w:r>
      <w:r>
        <w:rPr>
          <w:rFonts w:asciiTheme="majorHAnsi" w:hAnsiTheme="majorHAnsi" w:cstheme="majorHAnsi"/>
          <w:b/>
          <w:bCs/>
          <w:i/>
          <w:iCs/>
        </w:rPr>
        <w:t xml:space="preserve"> | Santa Clarita, CA |</w:t>
      </w:r>
      <w:r>
        <w:rPr>
          <w:rFonts w:asciiTheme="majorHAnsi" w:hAnsiTheme="majorHAnsi" w:cstheme="majorHAnsi"/>
          <w:b/>
          <w:bCs/>
        </w:rPr>
        <w:t xml:space="preserve"> August 2026 – September 2026</w:t>
      </w:r>
      <w:r>
        <w:rPr>
          <w:rFonts w:asciiTheme="majorHAnsi" w:hAnsiTheme="majorHAnsi" w:cstheme="majorHAnsi"/>
        </w:rPr>
        <w:t xml:space="preserve"> (pro bono)</w:t>
      </w:r>
    </w:p>
    <w:p>
      <w:pPr>
        <w:keepNext/>
        <w:spacing w:after="80"/>
      </w:pPr>
      <w:r>
        <w:rPr>
          <w:rFonts w:asciiTheme="majorHAnsi" w:hAnsiTheme="majorHAnsi" w:cstheme="majorHAnsi"/>
          <w:i/>
          <w:iCs/>
        </w:rPr>
        <w:t xml:space="preserve">Consultant - Principal Analyst GTM Expansion</w:t>
      </w:r>
    </w:p>
    <w:p>
      <w:pPr>
        <w:pStyle w:val="ListParagraph"/>
        <w:numPr>
          <w:ilvl w:val="0"/>
          <w:numId w:val="5"/>
        </w:numPr>
        <w:spacing w:after="40" w:line="250" w:lineRule="auto"/>
        <w:contextualSpacing w:val="0"/>
      </w:pPr>
      <w:r>
        <w:rPr>
          <w:rFonts w:asciiTheme="majorHAnsi" w:hAnsiTheme="majorHAnsi" w:cstheme="majorHAnsi"/>
        </w:rPr>
        <w:t xml:space="preserve">Designed and built the engagement's decision system end-to-end: an intake form converting raw inputs into a structured client profile, source-tagged evidence tracking, pre-set go/no-go criteria, and a phase-gated scan list sequencing the full analysis.</w:t>
      </w:r>
    </w:p>
    <w:p>
      <w:pPr>
        <w:pStyle w:val="ListParagraph"/>
        <w:numPr>
          <w:ilvl w:val="0"/>
          <w:numId w:val="5"/>
        </w:numPr>
        <w:spacing w:after="40" w:line="250" w:lineRule="auto"/>
        <w:contextualSpacing w:val="0"/>
      </w:pPr>
      <w:r>
        <w:rPr>
          <w:rFonts w:asciiTheme="majorHAnsi" w:hAnsiTheme="majorHAnsi" w:cstheme="majorHAnsi"/>
        </w:rPr>
        <w:t xml:space="preserve">Built a feasibility dashboard with kill/pivot triggers for an HVAC firm's market-overlap expansion, using cost-ceilings to curb cannibalization and protect profit.</w:t>
      </w:r>
    </w:p>
    <w:p>
      <w:pPr>
        <w:pStyle w:val="ListParagraph"/>
        <w:numPr>
          <w:ilvl w:val="0"/>
          <w:numId w:val="5"/>
        </w:numPr>
        <w:spacing w:after="160" w:line="250" w:lineRule="auto"/>
        <w:contextualSpacing w:val="0"/>
      </w:pPr>
      <w:r>
        <w:rPr>
          <w:rFonts w:asciiTheme="majorHAnsi" w:hAnsiTheme="majorHAnsi" w:cstheme="majorHAnsi"/>
        </w:rPr>
        <w:t xml:space="preserve">Advised an HVAC services firm seeking to expand its market presence by researching territory overlap geo-locationally. The analysis moved the firm's expansion plan toward a cost-ceiling approach, with investment limits set by where expansion territories overlapped.</w:t>
      </w:r>
    </w:p>
    <w:p>
      <w:pPr>
        <w:pStyle w:val="Heading1"/>
        <w:keepNext/>
        <w:pBdr>
          <w:bottom w:val="single" w:sz="6" w:space="2" w:color="999999"/>
        </w:pBdr>
        <w:spacing w:before="240" w:after="100"/>
      </w:pPr>
      <w:r>
        <w:rPr>
          <w:rFonts w:asciiTheme="majorHAnsi" w:hAnsiTheme="majorHAnsi" w:cstheme="majorHAnsi"/>
          <w:b/>
          <w:bCs/>
          <w:color w:val="1F3864"/>
          <w:sz w:val="20"/>
          <w:szCs w:val="20"/>
        </w:rPr>
        <w:t xml:space="preserve">Core Competencies</w:t>
      </w:r>
    </w:p>
    <w:p>
      <w:pPr>
        <w:pStyle w:val="ListParagraph"/>
        <w:numPr>
          <w:ilvl w:val="0"/>
          <w:numId w:val="2"/>
        </w:numPr>
        <w:spacing w:after="70" w:line="250" w:lineRule="auto"/>
      </w:pPr>
      <w:r>
        <w:rPr>
          <w:rFonts w:asciiTheme="majorHAnsi" w:hAnsiTheme="majorHAnsi" w:cstheme="majorHAnsi"/>
          <w:b/>
          <w:bCs/>
        </w:rPr>
        <w:t xml:space="preserve">Go-To-Market &amp; Revenue: </w:t>
      </w:r>
      <w:r>
        <w:rPr>
          <w:rFonts w:asciiTheme="majorHAnsi" w:hAnsiTheme="majorHAnsi" w:cstheme="majorHAnsi"/>
        </w:rPr>
        <w:t xml:space="preserve">account mapping, client retention, product positioning &amp; messaging, value proposition development, customer discovery, solution selling, market segmentation, GTM strategy, pipeline management, revenue forecasting &amp; KPI tracking, contract negotiation, proposal development</w:t>
      </w:r>
    </w:p>
    <w:p>
      <w:pPr>
        <w:pStyle w:val="ListParagraph"/>
        <w:numPr>
          <w:ilvl w:val="0"/>
          <w:numId w:val="2"/>
        </w:numPr>
        <w:spacing w:after="70" w:line="250" w:lineRule="auto"/>
      </w:pPr>
      <w:r>
        <w:rPr>
          <w:rFonts w:asciiTheme="majorHAnsi" w:hAnsiTheme="majorHAnsi" w:cstheme="majorHAnsi"/>
          <w:b/>
          <w:bCs/>
        </w:rPr>
        <w:t xml:space="preserve">Research &amp; Analysis: </w:t>
      </w:r>
      <w:r>
        <w:rPr>
          <w:rFonts w:asciiTheme="majorHAnsi" w:hAnsiTheme="majorHAnsi" w:cstheme="majorHAnsi"/>
        </w:rPr>
        <w:t xml:space="preserve">business process improvement, competitive intelligence, barriers-to-entry assessment, Market landscape analysis, decision-tree modeling, financial forecasting (P&amp;L), unit economics (CAC, payback, churn, TTFV), scenario planning</w:t>
      </w:r>
    </w:p>
    <w:p>
      <w:pPr>
        <w:pStyle w:val="ListParagraph"/>
        <w:numPr>
          <w:ilvl w:val="0"/>
          <w:numId w:val="2"/>
        </w:numPr>
        <w:spacing w:after="70" w:line="250" w:lineRule="auto"/>
      </w:pPr>
      <w:r>
        <w:rPr>
          <w:rFonts w:asciiTheme="majorHAnsi" w:hAnsiTheme="majorHAnsi" w:cstheme="majorHAnsi"/>
          <w:b/>
          <w:bCs/>
        </w:rPr>
        <w:t xml:space="preserve">AI &amp; Data: </w:t>
      </w:r>
      <w:r>
        <w:rPr>
          <w:rFonts w:asciiTheme="majorHAnsi" w:hAnsiTheme="majorHAnsi" w:cstheme="majorHAnsi"/>
        </w:rPr>
        <w:t xml:space="preserve">AI governance &amp; output verification, Claude (Opus 5, Sonnet 5, Fable 5), OpenAI / ChatGPT, Microsoft Copilot, prompt engineering, GenAI &amp; machine learning, data analytics, Tableau, Claude Code</w:t>
      </w:r>
    </w:p>
    <w:p>
      <w:pPr>
        <w:pStyle w:val="ListParagraph"/>
        <w:numPr>
          <w:ilvl w:val="0"/>
          <w:numId w:val="2"/>
        </w:numPr>
        <w:spacing w:after="70" w:line="250" w:lineRule="auto"/>
      </w:pPr>
      <w:r>
        <w:rPr>
          <w:rFonts w:asciiTheme="majorHAnsi" w:hAnsiTheme="majorHAnsi" w:cstheme="majorHAnsi"/>
          <w:b/>
          <w:bCs/>
        </w:rPr>
        <w:t xml:space="preserve">Tools &amp; Platforms: </w:t>
      </w:r>
      <w:r>
        <w:rPr>
          <w:rFonts w:asciiTheme="majorHAnsi" w:hAnsiTheme="majorHAnsi" w:cstheme="majorHAnsi"/>
        </w:rPr>
        <w:t xml:space="preserve">Canva, Salesforce CRM, ZoomInfo, LinkedIn Sales Navigator, Microsoft Excel &amp; Office Suite, Miro, Trello</w:t>
      </w:r>
    </w:p>
    <w:p>
      <w:pPr>
        <w:pStyle w:val="ListParagraph"/>
        <w:numPr>
          <w:ilvl w:val="0"/>
          <w:numId w:val="2"/>
        </w:numPr>
        <w:spacing w:after="70" w:line="250" w:lineRule="auto"/>
      </w:pPr>
      <w:r>
        <w:rPr>
          <w:rFonts w:asciiTheme="majorHAnsi" w:hAnsiTheme="majorHAnsi" w:cstheme="majorHAnsi"/>
          <w:b/>
          <w:bCs/>
        </w:rPr>
        <w:t xml:space="preserve">Funding &amp; Commercial Mechanics: </w:t>
      </w:r>
      <w:r>
        <w:rPr>
          <w:rFonts w:asciiTheme="majorHAnsi" w:hAnsiTheme="majorHAnsi" w:cstheme="majorHAnsi"/>
        </w:rPr>
        <w:t xml:space="preserve">non-dilutive federal grant strategy (SBIR), managed services &amp; RFP response, Restricted &amp; tax-advantaged funding mechanisms (co-op, MDF, 501(c)(3)), board &amp; trustee engagement</w:t>
      </w:r>
    </w:p>
    <w:sectPr>
      <w:pgSz w:w="12240" w:h="15840"/>
      <w:pgMar w:top="720" w:right="900" w:bottom="720" w:left="90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7167"/>
    <w:multiLevelType w:val="multilevel"/>
    <w:tmpl w:val="9E3E4C06"/>
    <w:lvl w:ilvl="0">
      <w:start w:val="1"/>
      <w:numFmt w:val="bullet"/>
      <w:lvlText w:val="•"/>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05AB16C9"/>
    <w:multiLevelType w:val="hybridMultilevel"/>
    <w:tmpl w:val="B1B28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A16613"/>
    <w:multiLevelType w:val="multilevel"/>
    <w:tmpl w:val="B3683D60"/>
    <w:lvl w:ilvl="0">
      <w:start w:val="1"/>
      <w:numFmt w:val="bullet"/>
      <w:lvlText w:val="•"/>
      <w:lvlJc w:val="left"/>
      <w:pPr>
        <w:ind w:left="360" w:hanging="360"/>
      </w:pPr>
      <w:rPr>
        <w:rFonts w:hint="default"/>
      </w:rPr>
    </w:lvl>
    <w:lvl w:ilvl="1">
      <w:numFmt w:val="decimal"/>
      <w:lvlText w:val="%2"/>
      <w:lvlJc w:val="left"/>
      <w:pPr>
        <w:ind w:left="0" w:firstLine="0"/>
      </w:pPr>
      <w:rPr>
        <w:rFonts w:hint="default"/>
      </w:rPr>
    </w:lvl>
    <w:lvl w:ilvl="2">
      <w:numFmt w:val="decimal"/>
      <w:lvlText w:val=""/>
      <w:lvlJc w:val="left"/>
      <w:pPr>
        <w:ind w:left="0" w:firstLine="0"/>
      </w:pPr>
      <w:rPr>
        <w:rFonts w:hint="default"/>
      </w:rPr>
    </w:lvl>
    <w:lvl w:ilvl="3">
      <w:numFmt w:val="decimal"/>
      <w:lvlText w:val=""/>
      <w:lvlJc w:val="left"/>
      <w:pPr>
        <w:ind w:left="0" w:firstLine="0"/>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3" w15:restartNumberingAfterBreak="0">
    <w:nsid w:val="5F8A03F2"/>
    <w:multiLevelType w:val="hybridMultilevel"/>
    <w:tmpl w:val="C8BA1B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77A0A32"/>
    <w:multiLevelType w:val="multilevel"/>
    <w:tmpl w:val="E6921468"/>
    <w:lvl w:ilvl="0">
      <w:start w:val="1"/>
      <w:numFmt w:val="bullet"/>
      <w:lvlText w:val="•"/>
      <w:lvlJc w:val="left"/>
      <w:pPr>
        <w:ind w:left="360" w:hanging="360"/>
      </w:pPr>
      <w:rPr>
        <w:rFonts w:hint="default"/>
      </w:rPr>
    </w:lvl>
    <w:lvl w:ilvl="1">
      <w:numFmt w:val="decimal"/>
      <w:lvlText w:val=""/>
      <w:lvlJc w:val="left"/>
      <w:pPr>
        <w:ind w:left="0" w:firstLine="0"/>
      </w:pPr>
      <w:rPr>
        <w:rFonts w:hint="default"/>
      </w:rPr>
    </w:lvl>
    <w:lvl w:ilvl="2">
      <w:numFmt w:val="decimal"/>
      <w:lvlText w:val=""/>
      <w:lvlJc w:val="left"/>
      <w:pPr>
        <w:ind w:left="0" w:firstLine="0"/>
      </w:pPr>
      <w:rPr>
        <w:rFonts w:hint="default"/>
      </w:rPr>
    </w:lvl>
    <w:lvl w:ilvl="3">
      <w:numFmt w:val="decimal"/>
      <w:lvlText w:val=""/>
      <w:lvlJc w:val="left"/>
      <w:pPr>
        <w:ind w:left="0" w:firstLine="0"/>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5" w15:restartNumberingAfterBreak="0">
    <w:nsid w:val="6E0462BD"/>
    <w:multiLevelType w:val="hybridMultilevel"/>
    <w:tmpl w:val="71262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B234EA6"/>
    <w:multiLevelType w:val="hybridMultilevel"/>
    <w:tmpl w:val="F68ACC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7F3160D1"/>
    <w:multiLevelType w:val="hybridMultilevel"/>
    <w:tmpl w:val="FAC4BC64"/>
    <w:lvl w:ilvl="0" w:tplc="C49AF858">
      <w:start w:val="1"/>
      <w:numFmt w:val="bullet"/>
      <w:lvlText w:val="•"/>
      <w:lvlJc w:val="left"/>
      <w:pPr>
        <w:ind w:left="302" w:hanging="215"/>
      </w:pPr>
      <w:rPr>
        <w:rFonts w:ascii="Calibri" w:eastAsia="Calibri" w:hAnsi="Calibri" w:cs="Calibri"/>
        <w:sz w:val="20"/>
        <w:szCs w:val="20"/>
      </w:rPr>
    </w:lvl>
    <w:lvl w:ilvl="1" w:tplc="EEF846C4">
      <w:numFmt w:val="decimal"/>
      <w:lvlText w:val=""/>
      <w:lvlJc w:val="left"/>
    </w:lvl>
    <w:lvl w:ilvl="2" w:tplc="4DE8322A">
      <w:numFmt w:val="decimal"/>
      <w:lvlText w:val=""/>
      <w:lvlJc w:val="left"/>
    </w:lvl>
    <w:lvl w:ilvl="3" w:tplc="F206905A">
      <w:numFmt w:val="decimal"/>
      <w:lvlText w:val=""/>
      <w:lvlJc w:val="left"/>
    </w:lvl>
    <w:lvl w:ilvl="4" w:tplc="463E4B24">
      <w:numFmt w:val="decimal"/>
      <w:lvlText w:val=""/>
      <w:lvlJc w:val="left"/>
    </w:lvl>
    <w:lvl w:ilvl="5" w:tplc="019E6F9C">
      <w:numFmt w:val="decimal"/>
      <w:lvlText w:val=""/>
      <w:lvlJc w:val="left"/>
    </w:lvl>
    <w:lvl w:ilvl="6" w:tplc="34DA15A0">
      <w:numFmt w:val="decimal"/>
      <w:lvlText w:val=""/>
      <w:lvlJc w:val="left"/>
    </w:lvl>
    <w:lvl w:ilvl="7" w:tplc="20ACCDD2">
      <w:numFmt w:val="decimal"/>
      <w:lvlText w:val=""/>
      <w:lvlJc w:val="left"/>
    </w:lvl>
    <w:lvl w:ilvl="8" w:tplc="72DE2D0C">
      <w:numFmt w:val="decimal"/>
      <w:lvlText w:val=""/>
      <w:lvlJc w:val="left"/>
    </w:lvl>
  </w:abstractNum>
  <w:num w:numId="1" w16cid:durableId="1274701934">
    <w:abstractNumId w:val="4"/>
  </w:num>
  <w:num w:numId="2" w16cid:durableId="1957439769">
    <w:abstractNumId w:val="0"/>
  </w:num>
  <w:num w:numId="3" w16cid:durableId="1289433140">
    <w:abstractNumId w:val="5"/>
  </w:num>
  <w:num w:numId="4" w16cid:durableId="1947036408">
    <w:abstractNumId w:val="1"/>
  </w:num>
  <w:num w:numId="5" w16cid:durableId="705905780">
    <w:abstractNumId w:val="7"/>
    <w:lvlOverride w:ilvl="0">
      <w:startOverride w:val="1"/>
    </w:lvlOverride>
  </w:num>
  <w:num w:numId="6" w16cid:durableId="937908986">
    <w:abstractNumId w:val="3"/>
  </w:num>
  <w:num w:numId="7" w16cid:durableId="1583025952">
    <w:abstractNumId w:val="6"/>
  </w:num>
  <w:num w:numId="8" w16cid:durableId="6216167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95E"/>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Hyperlink">
    <w:name w:val="Hyperlink"/>
    <w:basedOn w:val="DefaultParagraphFont"/>
    <w:uiPriority w:val="99"/>
    <w:unhideWhenUsed/>
    <w:rsid w:val="00443DA5"/>
    <w:rPr>
      <w:color w:val="0000FF" w:themeColor="hyperlink"/>
      <w:u w:val="single"/>
    </w:rPr>
  </w:style>
  <w:style w:type="character" w:styleId="UnresolvedMention">
    <w:name w:val="Unresolved Mention"/>
    <w:basedOn w:val="DefaultParagraphFont"/>
    <w:uiPriority w:val="99"/>
    <w:semiHidden/>
    <w:unhideWhenUsed/>
    <w:rsid w:val="00443DA5"/>
    <w:rPr>
      <w:color w:val="605E5C"/>
      <w:shd w:val="clear" w:color="auto" w:fill="E1DFDD"/>
    </w:rPr>
  </w:style>
  <w:style w:type="paragraph" w:styleId="ListParagraph">
    <w:name w:val="List Paragraph"/>
    <w:basedOn w:val="Normal"/>
    <w:qFormat/>
    <w:rsid w:val="00F726C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00" Type="http://schemas.openxmlformats.org/officeDocument/2006/relationships/hyperlink" Target="https://www.linkedin.com/in/timothy-king1124/?skipRedirect=true" TargetMode="External"/><Relationship Id="rId101" Type="http://schemas.openxmlformats.org/officeDocument/2006/relationships/hyperlink" Target="https://github.com/timrking11-blip" TargetMode="External"/><Relationship Id="rId102" Type="http://schemas.openxmlformats.org/officeDocument/2006/relationships/hyperlink" Target="https://www.strategicmarketinsights.serv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Application>Resume Optimization Tool</Application>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Tim King — Resume</dc:title>
  <dc:creator>Tim King</dc:creator>
  <cp:lastModifiedBy>Tim King</cp:lastModifiedBy>
  <dcterms:created xsi:type="dcterms:W3CDTF">2026-10-10T12:25:51Z</dcterms:created>
  <dcterms:modified xsi:type="dcterms:W3CDTF">2026-10-10T12:25:51Z</dcterms:modified>
</cp:coreProperties>
</file>