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Theme="majorHAnsi" w:hAnsiTheme="majorHAnsi" w:cstheme="majorHAnsi"/>
          <w:b/>
          <w:bCs/>
          <w:color w:val="1F3864"/>
        </w:rPr>
        <w:t xml:space="preserve">Tim King</w:t>
      </w:r>
    </w:p>
    <w:p>
      <w:pPr>
        <w:spacing w:after="200"/>
        <w:jc w:val="center"/>
      </w:pPr>
      <w:r>
        <w:rPr>
          <w:rFonts w:asciiTheme="majorHAnsi" w:hAnsiTheme="majorHAnsi" w:cstheme="majorHAnsi"/>
          <w:color w:val="444444"/>
        </w:rPr>
        <w:t xml:space="preserve">New York, NY | (617) 960-7176 | tim.r.king11@gmail.com | </w:t>
      </w:r>
      <w:hyperlink r:id="rId100" w:history="1">
        <w:r>
          <w:rPr>
            <w:rStyle w:val="Hyperlink"/>
            <w:rFonts w:asciiTheme="majorHAnsi" w:hAnsiTheme="majorHAnsi" w:cstheme="majorHAnsi"/>
          </w:rPr>
          <w:t xml:space="preserve">LinkedIn Profile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1" w:history="1">
        <w:r>
          <w:rPr>
            <w:rStyle w:val="Hyperlink"/>
            <w:rFonts w:asciiTheme="majorHAnsi" w:hAnsiTheme="majorHAnsi" w:cstheme="majorHAnsi"/>
          </w:rPr>
          <w:t xml:space="preserve">GitHub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2" w:history="1">
        <w:r>
          <w:rPr>
            <w:rStyle w:val="Hyperlink"/>
            <w:rFonts w:asciiTheme="majorHAnsi" w:hAnsiTheme="majorHAnsi" w:cstheme="majorHAnsi"/>
          </w:rPr>
          <w:t xml:space="preserve">Website</w:t>
        </w:r>
      </w:hyperlink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Summary &amp; Areas of Expertise</w:t>
      </w:r>
    </w:p>
    <w:p>
      <w:pPr>
        <w:spacing w:after="100"/>
        <w:jc w:val="both"/>
      </w:pPr>
      <w:r>
        <w:rPr>
          <w:rFonts w:asciiTheme="majorHAnsi" w:hAnsiTheme="majorHAnsi" w:cstheme="majorHAnsi"/>
        </w:rPr>
        <w:t xml:space="preserve">Revenue and go-to-market operator who owns GTM for an AI compliance product, including segmentation, positioning, $99/$249 pricing tiers and channel strategy. Runs weekly forecasting cadences with owners and decision logs, built and maintained a ~$115K discovery-led proposal pipeline, and added ~125 qualified prospects per week to Salesforce.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Business Strategy | GTM and Sales/Marketing Execution Specialist | AI Strategy &amp; Workflow Automation Leader | Systems Thinker | Process Engineer | AI Adoption Enthusiast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Go-To-Market Strategy • Pipeline Development &amp; CRM Discipline • Change Readiness &amp; Stakeholder Alignment • Sales Team Coaching &amp; Performance Management • Operating Cadence Design (RACI, Decision Logs) • AI &amp; Data Platform Solution Selling • Revenue Forecasting &amp; KPI Management • Complex Multi-Stakeholder Negotiation • Executive &amp; Board-Level Communication • Hiring, Onboarding &amp; Seller Ramp • Business Process Improvement • Strategic Partnerships &amp; Channel • Buy-vs-Build &amp; Competitive Analysis • AI Adoption Strategies for Sales Enablement and Business Growth • Market Segmentation &amp; Positioning • Unit Economics &amp; Revenue Modeling</w:t>
      </w:r>
    </w:p>
    <w:p>
      <w:pPr>
        <w:keepNext/>
        <w:jc w:val="center"/>
      </w:pPr>
      <w:r>
        <w:rPr>
          <w:rFonts w:asciiTheme="majorHAnsi" w:hAnsiTheme="majorHAnsi" w:cstheme="majorHAnsi"/>
          <w:b/>
          <w:bCs/>
          <w:u w:val="single"/>
        </w:rPr>
        <w:t xml:space="preserve">Technologies</w:t>
      </w:r>
      <w:r>
        <w:rPr>
          <w:rFonts w:asciiTheme="majorHAnsi" w:hAnsiTheme="majorHAnsi" w:cstheme="majorHAnsi"/>
          <w:b/>
          <w:bCs/>
        </w:rPr>
        <w:t xml:space="preserve">:</w:t>
      </w:r>
    </w:p>
    <w:p>
      <w:pPr>
        <w:jc w:val="center"/>
      </w:pPr>
      <w:r>
        <w:rPr>
          <w:rFonts w:asciiTheme="majorHAnsi" w:hAnsiTheme="majorHAnsi" w:cstheme="majorHAnsi"/>
        </w:rPr>
        <w:t xml:space="preserve">Salesforce (Classic, Lightning), Miro, Office-Place Collaboration Tools (Slack, MS Teams, Webex, Google Meet, Zoom), HubSpot, Marketo, Tableau (beginner), Google Tag Manager, LinkedIn (Sales Navigator, Recruiter), Canva, Trello, Microsoft Excel (VLOOKUPs, INDEX-MATCH-MATCH, XLOOKUP), Apollo.io, Microsoft Copilot, Claude &amp; Claude Code (Sonnet 5.x / Opus 5 / Fable 5), OpenAI (GPT-5.6, Sol, Terra, Luna), Model Context Protocol (MCP) Servers, Gong, Clay, Explorium AI, Salesforce Dashboards, GCP, Microsoft Stack, ZoomInfo, Squarespace, GitHub, Visual Studio &amp; VS Code, Notion, Demandbase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Education</w:t>
      </w:r>
    </w:p>
    <w:p>
      <w:pPr>
        <w:keepNext/>
        <w:spacing w:after="20"/>
      </w:pPr>
      <w:r>
        <w:rPr>
          <w:rFonts w:asciiTheme="majorHAnsi" w:hAnsiTheme="majorHAnsi" w:cstheme="majorHAnsi"/>
          <w:b/>
          <w:bCs/>
        </w:rPr>
        <w:t xml:space="preserve">University of Maine Business School</w:t>
      </w:r>
    </w:p>
    <w:p>
      <w:pPr>
        <w:spacing w:after="100"/>
      </w:pPr>
      <w:r>
        <w:rPr>
          <w:rFonts w:asciiTheme="majorHAnsi" w:hAnsiTheme="majorHAnsi" w:cstheme="majorHAnsi"/>
          <w:i/>
          <w:iCs/>
          <w:color w:val="444444"/>
        </w:rPr>
        <w:t xml:space="preserve">B.S., Double Major in Finance and Marketing | Spring 2018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Experience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Business Consultant - GTM Engineer &amp; Strategic Advisor | Strategic Market Insights (self-employed)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July 2026 – Present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Advisory &amp; GTM engineering practice · Key Engagement: healthcare AI start-up (confidential)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Own go-to-market for the client's AI compliance product sold to independent clinical practices — segmentation, positioning, $99/$249 tiers, and channel strategy.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Ran weekly forecasting cadence via a central dashboard tracking sequenced GTM gates and owners, resolving blockers with the team.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Produced the collateral the client sells with: pitch deck, competitive battlecards, partner negotiation sheets, and an eight-document executive round 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Analyzed 15+ direct, platform-bundling, and affiliation competitors against venture base rates to size the raise at $1.5–3M and set go/no-go milestones.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the practice's multi-tenant client engagement tracker with Claude Code, with 60 automated tests enforcing cross-client data isolation.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Restructured a proposed $946K/year five-person build into a one-engineer-plus-fractional model at $200–260K/year, a 73% cut.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Mapped stakeholder intervention and sign-off criteria for a startup client, defining who owned gates and approvals across the engagement.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Advertising Sales Director - Pro-Division | Professional Sports Publications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March 2026 – August 2026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Print-Media Advertising Agency supporting all major professional and university sports teams (yearbook and program ad placement)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and maintained a ~$115K active proposal pipeline through a diagnostic, discovery-first approach rather than a pitch-led 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Mined macroeconomic ad-pricing data via AI research agents to map proximity-driven print/radio buying patterns and refocus targeting on co-op-funded buyers.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Added ~125 net-new qualified prospects per week to Salesforce through targeted account research and stakeholder mapping.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a board-ready memo framing a $3,500 ask against 419 member businesses and 130K+ readers, written as the champion's own document.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Analyzed competitor products and services against ROI benchmarks, building metrics frameworks (CPM, readership, audience reach) to strengthen positioning.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Specialized Lead - Data Analytics &amp; Insights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2024 – November 2025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Led a team of up to 5 direct reports inside a 30-person practice, coaching performance through daily process reviews and 1:1 metric sessions.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Lifted lead-to-opportunity conversion from 12% to 28% and CRM field completion from 55% to 89% with rebuilt discovery frameworks and CRM standards.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Ran Salesforce-based win-loss reviews and aligned with business office Directors, Delivery leadership, and regional sales teams under shared department incentives.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Scoped and positioned AI, data, and cloud solutions — graph, Adobe Enterprise Suite, Azure, computer vision — translating capability into commercial terms.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Enterprise Recruiter – Global Services Division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2021 – 2024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Boston, MA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Partnered with Nike's global supply chain team on in-season optimization, delivering an AI-powered document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Sourced, screened, and onboarded enterprise technical talent at scale across four years of professional recruiting.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Tracked hiring-trend shifts in remote-work requirements through COVID, identifying incremental employer adaptation in the post-pandemic workplace.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Produced more than half the revenue on Vertex Pharmaceuticals, the firm's largest regional growth account, and expanded into two new groups.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Sales Development Representative / Inside Sales Rep | demandDrive (Amazon Business &amp; RealPage)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2018 – 2021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Waltham, MA · Outsourced SDR and Sales Representative firm. Key Engagements: SaaS product Propertyware for RealPage, Amazon Key for Business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a territory-realignment and post-close operations model adopted company-wide, credited with 150% growth in the Amazon Key for Business launch.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Ran a sequenced Marketo campaign targeting competitor-aligned audiences, driving inbound demand and more qualified meetings through pain-point messaging.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Marketing and Communications Intern | Massachusetts Department of Transportation, EZ Pass Services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May 2016 – September 2016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Weston, MA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Promoted EZ Pass adoption to Massachusetts residents and visitors, processing sign-ups through the transition to a toll-booth-free I-95.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Credentialing &amp; Certifications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Data Analytics &amp; Insights: Data Insights</w:t>
      </w:r>
      <w:r>
        <w:rPr>
          <w:rFonts w:asciiTheme="majorHAnsi" w:hAnsiTheme="majorHAnsi" w:cstheme="majorHAnsi"/>
        </w:rPr>
        <w:t xml:space="preserve"> — TEKsystems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Code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for CoWork</w:t>
      </w:r>
      <w:r>
        <w:rPr>
          <w:rFonts w:asciiTheme="majorHAnsi" w:hAnsiTheme="majorHAnsi" w:cstheme="majorHAnsi"/>
        </w:rPr>
        <w:t xml:space="preserve"> — Anthropic</w:t>
      </w:r>
      <w:r>
        <w:rPr>
          <w:rFonts w:asciiTheme="majorHAnsi" w:hAnsiTheme="majorHAnsi" w:cstheme="majorHAnsi"/>
          <w:i/>
          <w:iCs/>
          <w:color w:val="404040"/>
        </w:rPr>
        <w:t xml:space="preserve"> (In Progress)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Business Consulting Engagements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Healthcare Technology Start-Up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New York, NY |</w:t>
      </w:r>
      <w:r>
        <w:rPr>
          <w:rFonts w:asciiTheme="majorHAnsi" w:hAnsiTheme="majorHAnsi" w:cstheme="majorHAnsi"/>
          <w:b/>
          <w:bCs/>
        </w:rPr>
        <w:t xml:space="preserve"> July 2026 – Present</w:t>
      </w:r>
      <w:r>
        <w:rPr>
          <w:rFonts w:asciiTheme="majorHAnsi" w:hAnsiTheme="majorHAnsi" w:cstheme="majorHAnsi"/>
        </w:rPr>
        <w:t xml:space="preserve"> (Part Time)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Principal Business Strategist – GTM Plan, Business Architectural Roadmap, Blueprint to Obtain Necessary Funding – Healthcare FinTech Start-Up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Advised a healthcare technology start-up on IP ownership and equity tradeoffs while it weighed two funding routes: venture capital and government-funded research through SBIR grants, clarifying what each route meant for ownership.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Own go-to-market for an AI compliance product sold into independent clinical practices — segmentation, positioning, pricing tiers ($99/$249), channel strategy, and the sequencing that determines which motion gets funded first.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Produced the customer- and investor-facing collateral the company now sells with: pitch deck, competitive battlecards, partner negotiation sheets, and an eight-document executive round table with per-presentation talking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Concluded that distribution — not product — decides the outcome, redirecting GTM toward malpractice-carrier and professional-association channel partnerships after modeling that a direct human sales motion cannot carry a 12–18 month CAC payback at those price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Built the multi-tenant, role-scoped client engagement tracker that runs the advisory practice using Claude Code — including 60 automated tests asserting cross-client data isolation — with no prior engineering background.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Set the unit-economic gates the motion is now measured against: blended CAC under $900, payback under 12 months, monthly churn under 5%, time-to-first-value under 7 days.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Ran financial forecasting (P&amp;L, tool-stack cost model, Year-1 ARR band) and barriers-to-entry analysis to price strategic alternatives before capital committed; recommended a ~$2.15M non-dilutive federal funding route over an equity raise, tied to a dated decision gate.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Mapped a $0.76B category projected to reach $5.9B by 2035 (22.8% CAGR), benchmarked five direct comparables across four structural models, and built a decision tree of four exit paths with base-rate odds attached — including the cautionary comparable that won regulatory clearance and still failed on commercialization.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Implemented a staged delivery model with ownership attached to each stage, ensuring subject-matter experts in healthcare compliance and regulation owned the sign-off on technical builds, so every build aligned with the regulatory protocols it had to satisfy.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Designed and launched a 30–40 interview customer discovery sprint to size real addressable demand — screener, interview guide, scoring rubric, and 150-practice candidate universe built from scratch — classifying prospects by platform dependence against a pre-agreed threshold that fires a documented kill/pivot decision instead of a debate.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HVAC Services Firm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Santa Clarita, CA |</w:t>
      </w:r>
      <w:r>
        <w:rPr>
          <w:rFonts w:asciiTheme="majorHAnsi" w:hAnsiTheme="majorHAnsi" w:cstheme="majorHAnsi"/>
          <w:b/>
          <w:bCs/>
        </w:rPr>
        <w:t xml:space="preserve"> August 2026 – September 2026</w:t>
      </w:r>
      <w:r>
        <w:rPr>
          <w:rFonts w:asciiTheme="majorHAnsi" w:hAnsiTheme="majorHAnsi" w:cstheme="majorHAnsi"/>
        </w:rPr>
        <w:t xml:space="preserve"> (pro bono)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Consultant - Principal Analyst GTM Expansion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Advised an HVAC services firm seeking to expand its market presence by researching territory overlap geo-locationally. The analysis moved the firm's expansion plan toward a cost-ceiling approach, with investment limits set by where expansion territories overlapped.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Built a feasibility dashboard with kill/pivot triggers for an HVAC firm's market-overlap expansion, using cost-ceilings to curb cannibalization and protect profit.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Designed and built the engagement's decision system end-to-end: an intake form converting raw inputs into a structured client profile, source-tagged evidence tracking, pre-set go/no-go criteria, and a phase-gated scan list sequencing the full analysis.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Analyzed a proposed expansion site for an HVAC services firm and delivered a feasibility roadmap and governance framework built on a cost-ceiling approach, giving leadership a structured basis for evaluating the expansion decision beyond the initial feasibility dashboard.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Go-To-Market &amp; Revenue: </w:t>
      </w:r>
      <w:r>
        <w:rPr>
          <w:rFonts w:asciiTheme="majorHAnsi" w:hAnsiTheme="majorHAnsi" w:cstheme="majorHAnsi"/>
        </w:rPr>
        <w:t xml:space="preserve">GTM strategy, pipeline management, account mapping, client retention, revenue forecasting &amp; KPI tracking, product positioning &amp; messaging, value proposition development, customer discovery, solution selling, market segmentation, contract negotiation, proposal development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Research &amp; Analysis: </w:t>
      </w:r>
      <w:r>
        <w:rPr>
          <w:rFonts w:asciiTheme="majorHAnsi" w:hAnsiTheme="majorHAnsi" w:cstheme="majorHAnsi"/>
        </w:rPr>
        <w:t xml:space="preserve">Market landscape analysis, financial forecasting (P&amp;L), competitive intelligence, barriers-to-entry assessment, decision-tree modeling, unit economics (CAC, payback, churn, TTFV), scenario planning, business process improvement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AI &amp; Data: </w:t>
      </w:r>
      <w:r>
        <w:rPr>
          <w:rFonts w:asciiTheme="majorHAnsi" w:hAnsiTheme="majorHAnsi" w:cstheme="majorHAnsi"/>
        </w:rPr>
        <w:t xml:space="preserve">GenAI &amp; machine learning, Claude (Opus 5, Sonnet 5, Fable 5), OpenAI / ChatGPT, Microsoft Copilot, prompt engineering, AI governance &amp; output verification, data analytics, Tableau, Claude Code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Tools &amp; Platforms: </w:t>
      </w:r>
      <w:r>
        <w:rPr>
          <w:rFonts w:asciiTheme="majorHAnsi" w:hAnsiTheme="majorHAnsi" w:cstheme="majorHAnsi"/>
        </w:rPr>
        <w:t xml:space="preserve">Salesforce CRM, Miro, Canva, Trello, ZoomInfo, LinkedIn Sales Navigator, Microsoft Excel &amp; Office Suite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Funding &amp; Commercial Mechanics: </w:t>
      </w:r>
      <w:r>
        <w:rPr>
          <w:rFonts w:asciiTheme="majorHAnsi" w:hAnsiTheme="majorHAnsi" w:cstheme="majorHAnsi"/>
        </w:rPr>
        <w:t xml:space="preserve">non-dilutive federal grant strategy (SBIR), managed services &amp; RFP response, board &amp; trustee engagement, Restricted &amp; tax-advantaged funding mechanisms (co-op, MDF, 501(c)(3))</w:t>
      </w:r>
    </w:p>
    <w:sectPr>
      <w:pgSz w:w="12240" w:h="15840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167"/>
    <w:multiLevelType w:val="multilevel"/>
    <w:tmpl w:val="9E3E4C06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AB16C9"/>
    <w:multiLevelType w:val="hybridMultilevel"/>
    <w:tmpl w:val="B1B2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613"/>
    <w:multiLevelType w:val="multilevel"/>
    <w:tmpl w:val="B3683D60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F8A03F2"/>
    <w:multiLevelType w:val="hybridMultilevel"/>
    <w:tmpl w:val="C8BA1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7A0A32"/>
    <w:multiLevelType w:val="multilevel"/>
    <w:tmpl w:val="E6921468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6E0462BD"/>
    <w:multiLevelType w:val="hybridMultilevel"/>
    <w:tmpl w:val="71262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34EA6"/>
    <w:multiLevelType w:val="hybridMultilevel"/>
    <w:tmpl w:val="F68AC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3160D1"/>
    <w:multiLevelType w:val="hybridMultilevel"/>
    <w:tmpl w:val="FAC4BC64"/>
    <w:lvl w:ilvl="0" w:tplc="C49AF858">
      <w:start w:val="1"/>
      <w:numFmt w:val="bullet"/>
      <w:lvlText w:val="•"/>
      <w:lvlJc w:val="left"/>
      <w:pPr>
        <w:ind w:left="302" w:hanging="215"/>
      </w:pPr>
      <w:rPr>
        <w:rFonts w:ascii="Calibri" w:eastAsia="Calibri" w:hAnsi="Calibri" w:cs="Calibri"/>
        <w:sz w:val="20"/>
        <w:szCs w:val="20"/>
      </w:rPr>
    </w:lvl>
    <w:lvl w:ilvl="1" w:tplc="EEF846C4">
      <w:numFmt w:val="decimal"/>
      <w:lvlText w:val=""/>
      <w:lvlJc w:val="left"/>
    </w:lvl>
    <w:lvl w:ilvl="2" w:tplc="4DE8322A">
      <w:numFmt w:val="decimal"/>
      <w:lvlText w:val=""/>
      <w:lvlJc w:val="left"/>
    </w:lvl>
    <w:lvl w:ilvl="3" w:tplc="F206905A">
      <w:numFmt w:val="decimal"/>
      <w:lvlText w:val=""/>
      <w:lvlJc w:val="left"/>
    </w:lvl>
    <w:lvl w:ilvl="4" w:tplc="463E4B24">
      <w:numFmt w:val="decimal"/>
      <w:lvlText w:val=""/>
      <w:lvlJc w:val="left"/>
    </w:lvl>
    <w:lvl w:ilvl="5" w:tplc="019E6F9C">
      <w:numFmt w:val="decimal"/>
      <w:lvlText w:val=""/>
      <w:lvlJc w:val="left"/>
    </w:lvl>
    <w:lvl w:ilvl="6" w:tplc="34DA15A0">
      <w:numFmt w:val="decimal"/>
      <w:lvlText w:val=""/>
      <w:lvlJc w:val="left"/>
    </w:lvl>
    <w:lvl w:ilvl="7" w:tplc="20ACCDD2">
      <w:numFmt w:val="decimal"/>
      <w:lvlText w:val=""/>
      <w:lvlJc w:val="left"/>
    </w:lvl>
    <w:lvl w:ilvl="8" w:tplc="72DE2D0C">
      <w:numFmt w:val="decimal"/>
      <w:lvlText w:val=""/>
      <w:lvlJc w:val="left"/>
    </w:lvl>
  </w:abstractNum>
  <w:num w:numId="1" w16cid:durableId="1274701934">
    <w:abstractNumId w:val="4"/>
  </w:num>
  <w:num w:numId="2" w16cid:durableId="1957439769">
    <w:abstractNumId w:val="0"/>
  </w:num>
  <w:num w:numId="3" w16cid:durableId="1289433140">
    <w:abstractNumId w:val="5"/>
  </w:num>
  <w:num w:numId="4" w16cid:durableId="1947036408">
    <w:abstractNumId w:val="1"/>
  </w:num>
  <w:num w:numId="5" w16cid:durableId="705905780">
    <w:abstractNumId w:val="7"/>
    <w:lvlOverride w:ilvl="0">
      <w:startOverride w:val="1"/>
    </w:lvlOverride>
  </w:num>
  <w:num w:numId="6" w16cid:durableId="937908986">
    <w:abstractNumId w:val="3"/>
  </w:num>
  <w:num w:numId="7" w16cid:durableId="1583025952">
    <w:abstractNumId w:val="6"/>
  </w:num>
  <w:num w:numId="8" w16cid:durableId="62161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95E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43D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DA5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F72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00" Type="http://schemas.openxmlformats.org/officeDocument/2006/relationships/hyperlink" Target="https://www.linkedin.com/in/timothy-king1124/?skipRedirect=true" TargetMode="External"/><Relationship Id="rId101" Type="http://schemas.openxmlformats.org/officeDocument/2006/relationships/hyperlink" Target="https://github.com/timrking11-blip" TargetMode="External"/><Relationship Id="rId102" Type="http://schemas.openxmlformats.org/officeDocument/2006/relationships/hyperlink" Target="https://www.strategicmarketinsights.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Resume Optimization Tool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 King — Resume</dc:title>
  <dc:creator>Tim King</dc:creator>
  <cp:lastModifiedBy>Tim King</cp:lastModifiedBy>
  <dcterms:created xsi:type="dcterms:W3CDTF">2026-10-10T12:25:41Z</dcterms:created>
  <dcterms:modified xsi:type="dcterms:W3CDTF">2026-10-10T12:25:41Z</dcterms:modified>
</cp:coreProperties>
</file>