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40"/>
        <w:jc w:val="center"/>
      </w:pPr>
      <w:r>
        <w:rPr>
          <w:rFonts w:asciiTheme="majorHAnsi" w:hAnsiTheme="majorHAnsi" w:cstheme="majorHAnsi"/>
          <w:b/>
          <w:bCs/>
          <w:color w:val="1F3864"/>
        </w:rPr>
        <w:t xml:space="preserve">Tim King</w:t>
      </w:r>
    </w:p>
    <w:p>
      <w:pPr>
        <w:spacing w:after="200"/>
        <w:jc w:val="center"/>
      </w:pPr>
      <w:r>
        <w:rPr>
          <w:rFonts w:asciiTheme="majorHAnsi" w:hAnsiTheme="majorHAnsi" w:cstheme="majorHAnsi"/>
          <w:color w:val="444444"/>
        </w:rPr>
        <w:t xml:space="preserve">New York, NY | (617) 960-7176 | tim.r.king11@gmail.com | </w:t>
      </w:r>
      <w:hyperlink r:id="rId100" w:history="1">
        <w:r>
          <w:rPr>
            <w:rStyle w:val="Hyperlink"/>
            <w:rFonts w:asciiTheme="majorHAnsi" w:hAnsiTheme="majorHAnsi" w:cstheme="majorHAnsi"/>
          </w:rPr>
          <w:t xml:space="preserve">LinkedIn Profile</w:t>
        </w:r>
      </w:hyperlink>
      <w:r>
        <w:rPr>
          <w:rFonts w:asciiTheme="majorHAnsi" w:hAnsiTheme="majorHAnsi" w:cstheme="majorHAnsi"/>
          <w:color w:val="444444"/>
        </w:rPr>
        <w:t xml:space="preserve"> | </w:t>
      </w:r>
      <w:hyperlink r:id="rId101" w:history="1">
        <w:r>
          <w:rPr>
            <w:rStyle w:val="Hyperlink"/>
            <w:rFonts w:asciiTheme="majorHAnsi" w:hAnsiTheme="majorHAnsi" w:cstheme="majorHAnsi"/>
          </w:rPr>
          <w:t xml:space="preserve">GitHub</w:t>
        </w:r>
      </w:hyperlink>
      <w:r>
        <w:rPr>
          <w:rFonts w:asciiTheme="majorHAnsi" w:hAnsiTheme="majorHAnsi" w:cstheme="majorHAnsi"/>
          <w:color w:val="444444"/>
        </w:rPr>
        <w:t xml:space="preserve"> | </w:t>
      </w:r>
      <w:hyperlink r:id="rId102" w:history="1">
        <w:r>
          <w:rPr>
            <w:rStyle w:val="Hyperlink"/>
            <w:rFonts w:asciiTheme="majorHAnsi" w:hAnsiTheme="majorHAnsi" w:cstheme="majorHAnsi"/>
          </w:rPr>
          <w:t xml:space="preserve">Website</w:t>
        </w:r>
      </w:hyperlink>
    </w:p>
    <w:p>
      <w:pPr>
        <w:pStyle w:val="Heading1"/>
        <w:keepNext/>
        <w:pBdr>
          <w:bottom w:val="single" w:sz="6" w:space="2" w:color="999999"/>
        </w:pBdr>
        <w:spacing w:before="240" w:after="100"/>
      </w:pPr>
      <w:r>
        <w:rPr>
          <w:rFonts w:asciiTheme="majorHAnsi" w:hAnsiTheme="majorHAnsi" w:cstheme="majorHAnsi"/>
          <w:b/>
          <w:bCs/>
          <w:color w:val="1F3864"/>
          <w:sz w:val="20"/>
          <w:szCs w:val="20"/>
        </w:rPr>
        <w:t xml:space="preserve">Professional Summary &amp; Areas of Expertise</w:t>
      </w:r>
    </w:p>
    <w:p>
      <w:pPr>
        <w:spacing w:after="100"/>
        <w:jc w:val="both"/>
      </w:pPr>
      <w:r>
        <w:rPr>
          <w:rFonts w:asciiTheme="majorHAnsi" w:hAnsiTheme="majorHAnsi" w:cstheme="majorHAnsi"/>
        </w:rPr>
        <w:t xml:space="preserve">Revenue and go-to-market operator translating business objectives into documented processes, requirements, and measurable KPIs. Authored a launch-readiness assessment converting five organizational gaps into a dated plan with named owners, reconciled competing stakeholder visions into a staged roadmap with 12 recommendations and 4 stage gates, and built the operating cadence with RACI, escalation thresholds, and a decision log.</w:t>
      </w:r>
    </w:p>
    <w:p>
      <w:pPr>
        <w:spacing w:after="100"/>
        <w:jc w:val="center"/>
      </w:pPr>
      <w:r>
        <w:rPr>
          <w:rFonts w:asciiTheme="majorHAnsi" w:hAnsiTheme="majorHAnsi" w:cstheme="majorHAnsi"/>
        </w:rPr>
        <w:t xml:space="preserve">GTM and Sales/Marketing Execution Specialist | Business Strategy | Systems Thinker | Process Engineer | AI Strategy &amp; Workflow Automation Leader | Marketing, Advertising, Product, Services, &amp; Sales GTM Engineer</w:t>
      </w:r>
    </w:p>
    <w:p>
      <w:pPr>
        <w:spacing w:after="100"/>
        <w:jc w:val="center"/>
      </w:pPr>
      <w:r>
        <w:rPr>
          <w:rFonts w:asciiTheme="majorHAnsi" w:hAnsiTheme="majorHAnsi" w:cstheme="majorHAnsi"/>
        </w:rPr>
        <w:t xml:space="preserve">Go-To-Market Strategy • Business Analysis &amp; Advisory • Consultative &amp; Diagnostic Discovery • Revenue Forecasting &amp; KPI Management • Pipeline Development &amp; CRM Discipline • Executive &amp; Board-Level Communication • Change Readiness &amp; Stakeholder Alignment • Market Segmentation &amp; Positioning • Strategic Account Planning &amp; Expansion • AI &amp; Data Platform Solution Selling • Prompt Engineering &amp; AI-Enabled Workflow • Business Process Improvement • Operating Cadence Design (RACI, Decision Logs) • Buy-vs-Build &amp; Competitive Analysis • Primary Research &amp; Customer Discovery • Unit Economics &amp; Revenue Modeling</w:t>
      </w:r>
    </w:p>
    <w:p>
      <w:pPr>
        <w:keepNext/>
        <w:jc w:val="center"/>
      </w:pPr>
      <w:r>
        <w:rPr>
          <w:rFonts w:asciiTheme="majorHAnsi" w:hAnsiTheme="majorHAnsi" w:cstheme="majorHAnsi"/>
          <w:b/>
          <w:bCs/>
          <w:u w:val="single"/>
        </w:rPr>
        <w:t xml:space="preserve">Technologies</w:t>
      </w:r>
      <w:r>
        <w:rPr>
          <w:rFonts w:asciiTheme="majorHAnsi" w:hAnsiTheme="majorHAnsi" w:cstheme="majorHAnsi"/>
          <w:b/>
          <w:bCs/>
        </w:rPr>
        <w:t xml:space="preserve">:</w:t>
      </w:r>
    </w:p>
    <w:p>
      <w:pPr>
        <w:jc w:val="center"/>
      </w:pPr>
      <w:r>
        <w:rPr>
          <w:rFonts w:asciiTheme="majorHAnsi" w:hAnsiTheme="majorHAnsi" w:cstheme="majorHAnsi"/>
        </w:rPr>
        <w:t xml:space="preserve">Gong, Clay, Apollo, Exploriom AI, Excel, Salesforce Dashboard Component, Salesforce, Demandbase, Salesforce (Classic, Lightning), Tableau (beginner), Office-Place Collaboration Tools (Slack, MS Teams, Webex, Google Meet, Zoom), Google Tag Manager, Marketo, HubSpot, Apollo.io, Claude &amp; Claude Code (Sonnet 5.x / Opus 5 / Fable 5), Model Context Protocol (MCP) Servers, Miro, Microsoft Copilot, OpenAI (GPT-5.6, Sol, Terra, Luna), GCP, Microsoft Excel (VLOOKUPs, INDEX-MATCH-MATCH, XLOOKUP), Microsoft Stack, LinkedIn (Sales Navigator, Recruiter), ZoomInfo, Notion, Trello, GitHub, Visual Studio &amp; VS Code, Squarespace, Canva</w:t>
      </w:r>
    </w:p>
    <w:p>
      <w:pPr>
        <w:pStyle w:val="Heading1"/>
        <w:keepNext/>
        <w:pBdr>
          <w:bottom w:val="single" w:sz="6" w:space="2" w:color="999999"/>
        </w:pBdr>
        <w:spacing w:before="240" w:after="100"/>
      </w:pPr>
      <w:r>
        <w:rPr>
          <w:rFonts w:asciiTheme="majorHAnsi" w:hAnsiTheme="majorHAnsi" w:cstheme="majorHAnsi"/>
          <w:b/>
          <w:bCs/>
          <w:color w:val="1F3864"/>
          <w:sz w:val="20"/>
          <w:szCs w:val="20"/>
        </w:rPr>
        <w:t xml:space="preserve">Education</w:t>
      </w:r>
    </w:p>
    <w:p>
      <w:pPr>
        <w:keepNext/>
        <w:spacing w:after="20"/>
      </w:pPr>
      <w:r>
        <w:rPr>
          <w:rFonts w:asciiTheme="majorHAnsi" w:hAnsiTheme="majorHAnsi" w:cstheme="majorHAnsi"/>
          <w:b/>
          <w:bCs/>
        </w:rPr>
        <w:t xml:space="preserve">University of Maine Business School</w:t>
      </w:r>
    </w:p>
    <w:p>
      <w:pPr>
        <w:spacing w:after="100"/>
      </w:pPr>
      <w:r>
        <w:rPr>
          <w:rFonts w:asciiTheme="majorHAnsi" w:hAnsiTheme="majorHAnsi" w:cstheme="majorHAnsi"/>
          <w:i/>
          <w:iCs/>
          <w:color w:val="444444"/>
        </w:rPr>
        <w:t xml:space="preserve">B.S., Double Major in Finance and Marketing | Spring 2018</w:t>
      </w:r>
    </w:p>
    <w:p>
      <w:pPr>
        <w:pStyle w:val="Heading1"/>
        <w:keepNext/>
        <w:pBdr>
          <w:bottom w:val="single" w:sz="6" w:space="2" w:color="999999"/>
        </w:pBdr>
        <w:spacing w:before="240" w:after="100"/>
      </w:pPr>
      <w:r>
        <w:rPr>
          <w:rFonts w:asciiTheme="majorHAnsi" w:hAnsiTheme="majorHAnsi" w:cstheme="majorHAnsi"/>
          <w:b/>
          <w:bCs/>
          <w:color w:val="1F3864"/>
          <w:sz w:val="20"/>
          <w:szCs w:val="20"/>
        </w:rPr>
        <w:t xml:space="preserve">Professional Experience</w:t>
      </w:r>
    </w:p>
    <w:p>
      <w:pPr>
        <w:keepNext/>
        <w:tabs>
          <w:tab w:val="right" w:pos="10440"/>
        </w:tabs>
      </w:pPr>
      <w:r>
        <w:rPr>
          <w:rFonts w:asciiTheme="majorHAnsi" w:hAnsiTheme="majorHAnsi" w:cstheme="majorHAnsi"/>
          <w:b/>
          <w:bCs/>
        </w:rPr>
        <w:t xml:space="preserve">Business Consultant - GTM Engineer &amp; Strategic Advisor | Strategic Market Insights (self-employed) |</w:t>
      </w:r>
      <w:r>
        <w:rPr>
          <w:rFonts w:asciiTheme="majorHAnsi" w:hAnsiTheme="majorHAnsi" w:cstheme="majorHAnsi"/>
        </w:rPr>
        <w:tab/>
      </w:r>
      <w:r>
        <w:rPr>
          <w:rFonts w:asciiTheme="majorHAnsi" w:hAnsiTheme="majorHAnsi" w:cstheme="majorHAnsi"/>
        </w:rPr>
        <w:t xml:space="preserve">July 2026 – Present</w:t>
      </w:r>
    </w:p>
    <w:p>
      <w:pPr>
        <w:keepNext/>
        <w:spacing w:after="100" w:line="276" w:lineRule="auto"/>
      </w:pPr>
      <w:r>
        <w:rPr>
          <w:rFonts w:asciiTheme="majorHAnsi" w:hAnsiTheme="majorHAnsi" w:cstheme="majorHAnsi"/>
          <w:color w:val="808080"/>
          <w:sz w:val="16"/>
          <w:szCs w:val="16"/>
        </w:rPr>
        <w:t xml:space="preserve">New York, NY · Advisory &amp; GTM engineering practice · Key Engagement: healthcare AI start-up (confidential)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Presented business architecture, GTM strategy, and the SBIR application package to the CRO, COO, and Chief Clinical Officer, gating 17 items to funding lock.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Identified an SBIR federal funding route through NIH, aligning the product for D2P2 qualification to unlock up to $2M in capital with CEO sign-off.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Designed a RACI matrix and delegation/escalation protocols with CEO sign-off, governing IP decisions and board-ready recommendations.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Built the practice's multi-tenant client engagement tracker with Claude Code, with 60 automated tests enforcing cross-client data isolation.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Built a custom CRM from scratch with GTM and prospecting connectors, automated weekly contact enrichment, and account-research agents two-way synced to GitHub.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Own go-to-market for the client's AI compliance product sold to independent clinical practices — segmentation, positioning, $99/$249 tiers, and channel strategy.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Ran weekly forecasting cadence via a central dashboard tracking sequenced GTM gates and owners, resolving blockers with the team.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Authored the launch-readiness assessment that reset the execution sequence, converting five organizational gaps into a dated plan with named owners.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Reconciled the client founder's four-pillar vision and three build memos into one staged roadmap: 12 recommendations, 4 stage gates, 8 board decisions.</w:t>
      </w:r>
    </w:p>
    <w:p>
      <w:pPr>
        <w:pStyle w:val="ListParagraph"/>
        <w:numPr>
          <w:ilvl w:val="0"/>
          <w:numId w:val="1"/>
        </w:numPr>
        <w:spacing w:after="240"/>
      </w:pPr>
      <w:r>
        <w:rPr>
          <w:rFonts w:asciiTheme="majorHAnsi" w:hAnsiTheme="majorHAnsi" w:cstheme="majorHAnsi"/>
        </w:rPr>
        <w:t xml:space="preserve">Built a weekly capacity forecast, RACI, and decision log for the operating cadence, tracking 3–4 concurrent streams through gated sprint cycles.</w:t>
      </w:r>
    </w:p>
    <w:p>
      <w:pPr>
        <w:keepNext/>
        <w:tabs>
          <w:tab w:val="right" w:pos="10440"/>
        </w:tabs>
      </w:pPr>
      <w:r>
        <w:rPr>
          <w:rFonts w:asciiTheme="majorHAnsi" w:hAnsiTheme="majorHAnsi" w:cstheme="majorHAnsi"/>
          <w:b/>
          <w:bCs/>
        </w:rPr>
        <w:t xml:space="preserve">Advertising Sales Director - Pro-Division | Professional Sports Publications |</w:t>
      </w:r>
      <w:r>
        <w:rPr>
          <w:rFonts w:asciiTheme="majorHAnsi" w:hAnsiTheme="majorHAnsi" w:cstheme="majorHAnsi"/>
        </w:rPr>
        <w:tab/>
      </w:r>
      <w:r>
        <w:rPr>
          <w:rFonts w:asciiTheme="majorHAnsi" w:hAnsiTheme="majorHAnsi" w:cstheme="majorHAnsi"/>
        </w:rPr>
        <w:t xml:space="preserve">March 2026 – August 2026</w:t>
      </w:r>
    </w:p>
    <w:p>
      <w:pPr>
        <w:keepNext/>
        <w:spacing w:after="100" w:line="276" w:lineRule="auto"/>
      </w:pPr>
      <w:r>
        <w:rPr>
          <w:rFonts w:asciiTheme="majorHAnsi" w:hAnsiTheme="majorHAnsi" w:cstheme="majorHAnsi"/>
          <w:color w:val="808080"/>
          <w:sz w:val="16"/>
          <w:szCs w:val="16"/>
        </w:rPr>
        <w:t xml:space="preserve">New York, NY · Print-Media Advertising Agency supporting all major professional and university sports teams (yearbook and program ad placement)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Built and maintained a ~$115K active proposal pipeline through a diagnostic, discovery-first approach rather than a pitch-led one.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Added ~125 net-new qualified prospects per week to Salesforce through targeted account research and stakeholder mapping.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Mined macroeconomic ad-pricing data via AI research agents to map proximity-driven print/radio buying patterns and refocus targeting on co-op-funded buyers.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Identified key decision-makers with ZoomInfo, LinkedIn Sales Navigator, and AI-assisted account mapping using OpenAI and Claude models.</w:t>
      </w:r>
    </w:p>
    <w:p>
      <w:pPr>
        <w:pStyle w:val="ListParagraph"/>
        <w:numPr>
          <w:ilvl w:val="0"/>
          <w:numId w:val="1"/>
        </w:numPr>
        <w:spacing w:after="240"/>
      </w:pPr>
      <w:r>
        <w:rPr>
          <w:rFonts w:asciiTheme="majorHAnsi" w:hAnsiTheme="majorHAnsi" w:cstheme="majorHAnsi"/>
        </w:rPr>
        <w:t xml:space="preserve">Modeled a $10.98 blended CPM against 1.32M reach and a $2,849 cost-per-acquisition benchmark to price a $14,500 buy on outcome economics.</w:t>
      </w:r>
    </w:p>
    <w:p>
      <w:pPr>
        <w:keepNext/>
        <w:tabs>
          <w:tab w:val="right" w:pos="10440"/>
        </w:tabs>
      </w:pPr>
      <w:r>
        <w:rPr>
          <w:rFonts w:asciiTheme="majorHAnsi" w:hAnsiTheme="majorHAnsi" w:cstheme="majorHAnsi"/>
          <w:b/>
          <w:bCs/>
        </w:rPr>
        <w:t xml:space="preserve">Financial Services Professional | New York Life Insurance Company |</w:t>
      </w:r>
      <w:r>
        <w:rPr>
          <w:rFonts w:asciiTheme="majorHAnsi" w:hAnsiTheme="majorHAnsi" w:cstheme="majorHAnsi"/>
        </w:rPr>
        <w:tab/>
      </w:r>
      <w:r>
        <w:rPr>
          <w:rFonts w:asciiTheme="majorHAnsi" w:hAnsiTheme="majorHAnsi" w:cstheme="majorHAnsi"/>
        </w:rPr>
        <w:t xml:space="preserve">December 2025 – March 2026</w:t>
      </w:r>
    </w:p>
    <w:p>
      <w:pPr>
        <w:keepNext/>
        <w:spacing w:after="100" w:line="276" w:lineRule="auto"/>
      </w:pPr>
      <w:r>
        <w:rPr>
          <w:rFonts w:asciiTheme="majorHAnsi" w:hAnsiTheme="majorHAnsi" w:cstheme="majorHAnsi"/>
          <w:color w:val="808080"/>
          <w:sz w:val="16"/>
          <w:szCs w:val="16"/>
        </w:rPr>
        <w:t xml:space="preserve">New York, NY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Conducted needs-based assessments on long-term financial, beneficiary, and legacy objectives in estate- and tax-planning terms.</w:t>
      </w:r>
    </w:p>
    <w:p>
      <w:pPr>
        <w:pStyle w:val="ListParagraph"/>
        <w:numPr>
          <w:ilvl w:val="0"/>
          <w:numId w:val="1"/>
        </w:numPr>
        <w:spacing w:after="240"/>
      </w:pPr>
      <w:r>
        <w:rPr>
          <w:rFonts w:asciiTheme="majorHAnsi" w:hAnsiTheme="majorHAnsi" w:cstheme="majorHAnsi"/>
        </w:rPr>
        <w:t xml:space="preserve">Developed a referral-based book of business through networking, community involvement, and constituent introductions.</w:t>
      </w:r>
    </w:p>
    <w:p>
      <w:pPr>
        <w:keepNext/>
        <w:tabs>
          <w:tab w:val="right" w:pos="10440"/>
        </w:tabs>
      </w:pPr>
      <w:r>
        <w:rPr>
          <w:rFonts w:asciiTheme="majorHAnsi" w:hAnsiTheme="majorHAnsi" w:cstheme="majorHAnsi"/>
          <w:b/>
          <w:bCs/>
        </w:rPr>
        <w:t xml:space="preserve">Specialized Lead - Data Analytics &amp; Insights | TEKsystems |</w:t>
      </w:r>
      <w:r>
        <w:rPr>
          <w:rFonts w:asciiTheme="majorHAnsi" w:hAnsiTheme="majorHAnsi" w:cstheme="majorHAnsi"/>
        </w:rPr>
        <w:tab/>
      </w:r>
      <w:r>
        <w:rPr>
          <w:rFonts w:asciiTheme="majorHAnsi" w:hAnsiTheme="majorHAnsi" w:cstheme="majorHAnsi"/>
        </w:rPr>
        <w:t xml:space="preserve">2024 – November 2025</w:t>
      </w:r>
    </w:p>
    <w:p>
      <w:pPr>
        <w:keepNext/>
        <w:spacing w:after="100" w:line="276" w:lineRule="auto"/>
      </w:pPr>
      <w:r>
        <w:rPr>
          <w:rFonts w:asciiTheme="majorHAnsi" w:hAnsiTheme="majorHAnsi" w:cstheme="majorHAnsi"/>
          <w:color w:val="808080"/>
          <w:sz w:val="16"/>
          <w:szCs w:val="16"/>
        </w:rPr>
        <w:t xml:space="preserve">New York, NY · Top firm for I.T. Staffing &amp; Managed Services with flexible engagement types that work with 85% of Fortune 500 companies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Ran Salesforce-based win-loss reviews and aligned with business office Directors, Delivery leadership, and regional sales teams under shared department incentives.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Influenced deal prioritization by weighting opportunities on exclusivity, repeat-buyer status, and engagement scope to align personnel to closeable business.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Owned weekly, monthly, and yearly revenue metrics for the Data Analytics department and two-recruiter team, reporting to Delivery leadership.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Sourced and staffed 8 solution architects across 8 digital transformation workstreams on a 12–18 month renewable managed services engagement worth over $1M annually.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Lifted lead-to-opportunity conversion from 12% to 28% and CRM field completion from 55% to 89% with rebuilt discovery frameworks and CRM standards.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Scoped and positioned AI, data, and cloud solutions — graph, Adobe Enterprise Suite, Azure, computer vision — translating capability into commercial terms.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Led discovery directly with Southern Company Gas's Center of Excellence on data science, machine learning, and data governance.</w:t>
      </w:r>
    </w:p>
    <w:p>
      <w:pPr>
        <w:pStyle w:val="ListParagraph"/>
        <w:numPr>
          <w:ilvl w:val="0"/>
          <w:numId w:val="1"/>
        </w:numPr>
        <w:spacing w:after="240"/>
      </w:pPr>
      <w:r>
        <w:rPr>
          <w:rFonts w:asciiTheme="majorHAnsi" w:hAnsiTheme="majorHAnsi" w:cstheme="majorHAnsi"/>
        </w:rPr>
        <w:t xml:space="preserve">Analyzed CRM opportunity keywords to track emerging-tech demand shifts and delivered a data analytics insights playbook to SVPs at a 12,000-employee firm.</w:t>
      </w:r>
    </w:p>
    <w:p>
      <w:pPr>
        <w:keepNext/>
        <w:tabs>
          <w:tab w:val="right" w:pos="10440"/>
        </w:tabs>
      </w:pPr>
      <w:r>
        <w:rPr>
          <w:rFonts w:asciiTheme="majorHAnsi" w:hAnsiTheme="majorHAnsi" w:cstheme="majorHAnsi"/>
          <w:b/>
          <w:bCs/>
        </w:rPr>
        <w:t xml:space="preserve">Enterprise Recruiter – Global Services Division | TEKsystems |</w:t>
      </w:r>
      <w:r>
        <w:rPr>
          <w:rFonts w:asciiTheme="majorHAnsi" w:hAnsiTheme="majorHAnsi" w:cstheme="majorHAnsi"/>
        </w:rPr>
        <w:tab/>
      </w:r>
      <w:r>
        <w:rPr>
          <w:rFonts w:asciiTheme="majorHAnsi" w:hAnsiTheme="majorHAnsi" w:cstheme="majorHAnsi"/>
        </w:rPr>
        <w:t xml:space="preserve">2021 – 2024</w:t>
      </w:r>
    </w:p>
    <w:p>
      <w:pPr>
        <w:keepNext/>
        <w:spacing w:after="100" w:line="276" w:lineRule="auto"/>
      </w:pPr>
      <w:r>
        <w:rPr>
          <w:rFonts w:asciiTheme="majorHAnsi" w:hAnsiTheme="majorHAnsi" w:cstheme="majorHAnsi"/>
          <w:color w:val="808080"/>
          <w:sz w:val="16"/>
          <w:szCs w:val="16"/>
        </w:rPr>
        <w:t xml:space="preserve">Boston, MA · Top firm for I.T. Staffing &amp; Managed Services with flexible engagement types that work with 85% of Fortune 500 companies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Produced more than half the revenue on Vertex Pharmaceuticals, the firm's largest regional growth account, and expanded into two new groups.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Tracked hiring-trend shifts in remote-work requirements through COVID, identifying incremental employer adaptation in the post-pandemic workplace.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Opened net-new managed services accounts at Wayfair and Disney's ESPN and Entertainment Technology organization from cold.</w:t>
      </w:r>
    </w:p>
    <w:p>
      <w:pPr>
        <w:pStyle w:val="ListParagraph"/>
        <w:numPr>
          <w:ilvl w:val="0"/>
          <w:numId w:val="1"/>
        </w:numPr>
        <w:spacing w:after="240"/>
      </w:pPr>
      <w:r>
        <w:rPr>
          <w:rFonts w:asciiTheme="majorHAnsi" w:hAnsiTheme="majorHAnsi" w:cstheme="majorHAnsi"/>
        </w:rPr>
        <w:t xml:space="preserve">Generated $750K+ in annual revenue and won the company-wide sales contest in first full year against a national field.</w:t>
      </w:r>
    </w:p>
    <w:p>
      <w:pPr>
        <w:keepNext/>
        <w:tabs>
          <w:tab w:val="right" w:pos="10440"/>
        </w:tabs>
      </w:pPr>
      <w:r>
        <w:rPr>
          <w:rFonts w:asciiTheme="majorHAnsi" w:hAnsiTheme="majorHAnsi" w:cstheme="majorHAnsi"/>
          <w:b/>
          <w:bCs/>
        </w:rPr>
        <w:t xml:space="preserve">Sales Development Representative / Inside Sales Rep | demandDrive (Amazon Business &amp; RealPage) |</w:t>
      </w:r>
      <w:r>
        <w:rPr>
          <w:rFonts w:asciiTheme="majorHAnsi" w:hAnsiTheme="majorHAnsi" w:cstheme="majorHAnsi"/>
        </w:rPr>
        <w:tab/>
      </w:r>
      <w:r>
        <w:rPr>
          <w:rFonts w:asciiTheme="majorHAnsi" w:hAnsiTheme="majorHAnsi" w:cstheme="majorHAnsi"/>
        </w:rPr>
        <w:t xml:space="preserve">2018 – 2021</w:t>
      </w:r>
    </w:p>
    <w:p>
      <w:pPr>
        <w:keepNext/>
        <w:spacing w:after="100" w:line="276" w:lineRule="auto"/>
      </w:pPr>
      <w:r>
        <w:rPr>
          <w:rFonts w:asciiTheme="majorHAnsi" w:hAnsiTheme="majorHAnsi" w:cstheme="majorHAnsi"/>
          <w:color w:val="808080"/>
          <w:sz w:val="16"/>
          <w:szCs w:val="16"/>
        </w:rPr>
        <w:t xml:space="preserve">Waltham, MA · Outsourced SDR and Sales Representative firm. Key Engagements: SaaS product Propertyware for RealPage, Amazon Key for Business launch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Theme="majorHAnsi" w:hAnsiTheme="majorHAnsi" w:cstheme="majorHAnsi"/>
        </w:rPr>
        <w:t xml:space="preserve">Authored a territory-realignment and post-close operations model adopted company-wide, credited with 150% growth in the Amazon Key for Business launch.</w:t>
      </w:r>
    </w:p>
    <w:p>
      <w:pPr>
        <w:pStyle w:val="ListParagraph"/>
        <w:numPr>
          <w:ilvl w:val="0"/>
          <w:numId w:val="1"/>
        </w:numPr>
        <w:spacing w:after="240"/>
      </w:pPr>
      <w:r>
        <w:rPr>
          <w:rFonts w:asciiTheme="majorHAnsi" w:hAnsiTheme="majorHAnsi" w:cstheme="majorHAnsi"/>
        </w:rPr>
        <w:t xml:space="preserve">Delivered 200% of first-month quota (12 meetings vs. 6) on a net-new client engagement; named MVP of the Month.</w:t>
      </w:r>
    </w:p>
    <w:p>
      <w:pPr>
        <w:keepNext/>
        <w:tabs>
          <w:tab w:val="right" w:pos="10440"/>
        </w:tabs>
      </w:pPr>
      <w:r>
        <w:rPr>
          <w:rFonts w:asciiTheme="majorHAnsi" w:hAnsiTheme="majorHAnsi" w:cstheme="majorHAnsi"/>
          <w:b/>
          <w:bCs/>
        </w:rPr>
        <w:t xml:space="preserve">Marketing and Communications Intern | Massachusetts Department of Transportation, EZ Pass Services |</w:t>
      </w:r>
      <w:r>
        <w:rPr>
          <w:rFonts w:asciiTheme="majorHAnsi" w:hAnsiTheme="majorHAnsi" w:cstheme="majorHAnsi"/>
        </w:rPr>
        <w:tab/>
      </w:r>
      <w:r>
        <w:rPr>
          <w:rFonts w:asciiTheme="majorHAnsi" w:hAnsiTheme="majorHAnsi" w:cstheme="majorHAnsi"/>
        </w:rPr>
        <w:t xml:space="preserve">May 2016 – September 2016</w:t>
      </w:r>
    </w:p>
    <w:p>
      <w:pPr>
        <w:keepNext/>
        <w:spacing w:after="100" w:line="276" w:lineRule="auto"/>
      </w:pPr>
      <w:r>
        <w:rPr>
          <w:rFonts w:asciiTheme="majorHAnsi" w:hAnsiTheme="majorHAnsi" w:cstheme="majorHAnsi"/>
          <w:color w:val="808080"/>
          <w:sz w:val="16"/>
          <w:szCs w:val="16"/>
        </w:rPr>
        <w:t xml:space="preserve">Weston, MA</w:t>
      </w:r>
    </w:p>
    <w:p>
      <w:pPr>
        <w:pStyle w:val="ListParagraph"/>
        <w:numPr>
          <w:ilvl w:val="0"/>
          <w:numId w:val="1"/>
        </w:numPr>
        <w:spacing w:after="240"/>
      </w:pPr>
      <w:r>
        <w:rPr>
          <w:rFonts w:asciiTheme="majorHAnsi" w:hAnsiTheme="majorHAnsi" w:cstheme="majorHAnsi"/>
        </w:rPr>
        <w:t xml:space="preserve">Promoted EZ Pass adoption to Massachusetts residents and visitors, processing sign-ups through the transition to a toll-booth-free I-95.</w:t>
      </w:r>
    </w:p>
    <w:p>
      <w:pPr>
        <w:pStyle w:val="Heading1"/>
        <w:keepNext/>
        <w:pBdr>
          <w:bottom w:val="single" w:sz="6" w:space="2" w:color="999999"/>
        </w:pBdr>
        <w:spacing w:before="240" w:after="100"/>
      </w:pPr>
      <w:r>
        <w:rPr>
          <w:rFonts w:asciiTheme="majorHAnsi" w:hAnsiTheme="majorHAnsi" w:cstheme="majorHAnsi"/>
          <w:b/>
          <w:bCs/>
          <w:color w:val="1F3864"/>
          <w:sz w:val="20"/>
          <w:szCs w:val="20"/>
        </w:rPr>
        <w:t xml:space="preserve">Credentialing &amp; Certifications</w:t>
      </w:r>
    </w:p>
    <w:p>
      <w:pPr>
        <w:numPr>
          <w:ilvl w:val="0"/>
          <w:numId w:val="5"/>
        </w:numPr>
        <w:spacing w:after="40" w:line="250" w:lineRule="auto"/>
      </w:pPr>
      <w:r>
        <w:rPr>
          <w:rFonts w:asciiTheme="majorHAnsi" w:hAnsiTheme="majorHAnsi" w:cstheme="majorHAnsi"/>
          <w:b/>
          <w:bCs/>
        </w:rPr>
        <w:t xml:space="preserve">Data Analytics &amp; Insights: Data Insights</w:t>
      </w:r>
      <w:r>
        <w:rPr>
          <w:rFonts w:asciiTheme="majorHAnsi" w:hAnsiTheme="majorHAnsi" w:cstheme="majorHAnsi"/>
        </w:rPr>
        <w:t xml:space="preserve"> — TEKsystems</w:t>
      </w:r>
    </w:p>
    <w:p>
      <w:pPr>
        <w:numPr>
          <w:ilvl w:val="0"/>
          <w:numId w:val="5"/>
        </w:numPr>
        <w:spacing w:after="40" w:line="250" w:lineRule="auto"/>
      </w:pPr>
      <w:r>
        <w:rPr>
          <w:rFonts w:asciiTheme="majorHAnsi" w:hAnsiTheme="majorHAnsi" w:cstheme="majorHAnsi"/>
          <w:b/>
          <w:bCs/>
        </w:rPr>
        <w:t xml:space="preserve">Claude 101 Certification</w:t>
      </w:r>
      <w:r>
        <w:rPr>
          <w:rFonts w:asciiTheme="majorHAnsi" w:hAnsiTheme="majorHAnsi" w:cstheme="majorHAnsi"/>
        </w:rPr>
        <w:t xml:space="preserve"> — Anthropic</w:t>
      </w:r>
    </w:p>
    <w:p>
      <w:pPr>
        <w:numPr>
          <w:ilvl w:val="0"/>
          <w:numId w:val="5"/>
        </w:numPr>
        <w:spacing w:after="40" w:line="250" w:lineRule="auto"/>
      </w:pPr>
      <w:r>
        <w:rPr>
          <w:rFonts w:asciiTheme="majorHAnsi" w:hAnsiTheme="majorHAnsi" w:cstheme="majorHAnsi"/>
          <w:b/>
          <w:bCs/>
        </w:rPr>
        <w:t xml:space="preserve">Claude Code 101 Certification</w:t>
      </w:r>
      <w:r>
        <w:rPr>
          <w:rFonts w:asciiTheme="majorHAnsi" w:hAnsiTheme="majorHAnsi" w:cstheme="majorHAnsi"/>
        </w:rPr>
        <w:t xml:space="preserve"> — Anthropic</w:t>
      </w:r>
    </w:p>
    <w:p>
      <w:pPr>
        <w:numPr>
          <w:ilvl w:val="0"/>
          <w:numId w:val="5"/>
        </w:numPr>
        <w:spacing w:after="40" w:line="250" w:lineRule="auto"/>
      </w:pPr>
      <w:r>
        <w:rPr>
          <w:rFonts w:asciiTheme="majorHAnsi" w:hAnsiTheme="majorHAnsi" w:cstheme="majorHAnsi"/>
          <w:b/>
          <w:bCs/>
        </w:rPr>
        <w:t xml:space="preserve">Claude for CoWork</w:t>
      </w:r>
      <w:r>
        <w:rPr>
          <w:rFonts w:asciiTheme="majorHAnsi" w:hAnsiTheme="majorHAnsi" w:cstheme="majorHAnsi"/>
        </w:rPr>
        <w:t xml:space="preserve"> — Anthropic</w:t>
      </w:r>
      <w:r>
        <w:rPr>
          <w:rFonts w:asciiTheme="majorHAnsi" w:hAnsiTheme="majorHAnsi" w:cstheme="majorHAnsi"/>
          <w:i/>
          <w:iCs/>
          <w:color w:val="404040"/>
        </w:rPr>
        <w:t xml:space="preserve"> (In Progress)</w:t>
      </w:r>
    </w:p>
    <w:p>
      <w:pPr>
        <w:pStyle w:val="Heading1"/>
        <w:keepNext/>
        <w:pBdr>
          <w:bottom w:val="single" w:sz="6" w:space="2" w:color="999999"/>
        </w:pBdr>
        <w:spacing w:before="240" w:after="100"/>
      </w:pPr>
      <w:r>
        <w:rPr>
          <w:rFonts w:asciiTheme="majorHAnsi" w:hAnsiTheme="majorHAnsi" w:cstheme="majorHAnsi"/>
          <w:b/>
          <w:bCs/>
          <w:color w:val="1F3864"/>
          <w:sz w:val="20"/>
          <w:szCs w:val="20"/>
        </w:rPr>
        <w:t xml:space="preserve">Business Consulting Engagements</w:t>
      </w:r>
    </w:p>
    <w:p>
      <w:pPr>
        <w:keepNext/>
        <w:spacing w:after="80"/>
      </w:pPr>
      <w:r>
        <w:rPr>
          <w:rFonts w:asciiTheme="majorHAnsi" w:hAnsiTheme="majorHAnsi" w:cstheme="majorHAnsi"/>
          <w:b/>
          <w:bCs/>
        </w:rPr>
        <w:t xml:space="preserve">Healthcare Technology Start-Up (Confidential)</w:t>
      </w:r>
      <w:r>
        <w:rPr>
          <w:rFonts w:asciiTheme="majorHAnsi" w:hAnsiTheme="majorHAnsi" w:cstheme="majorHAnsi"/>
          <w:b/>
          <w:bCs/>
          <w:i/>
          <w:iCs/>
        </w:rPr>
        <w:t xml:space="preserve"> | New York, NY |</w:t>
      </w:r>
      <w:r>
        <w:rPr>
          <w:rFonts w:asciiTheme="majorHAnsi" w:hAnsiTheme="majorHAnsi" w:cstheme="majorHAnsi"/>
          <w:b/>
          <w:bCs/>
        </w:rPr>
        <w:t xml:space="preserve"> July 2026 – Present</w:t>
      </w:r>
      <w:r>
        <w:rPr>
          <w:rFonts w:asciiTheme="majorHAnsi" w:hAnsiTheme="majorHAnsi" w:cstheme="majorHAnsi"/>
        </w:rPr>
        <w:t xml:space="preserve"> (Part Time)</w:t>
      </w:r>
    </w:p>
    <w:p>
      <w:pPr>
        <w:keepNext/>
        <w:spacing w:after="80"/>
      </w:pPr>
      <w:r>
        <w:rPr>
          <w:rFonts w:asciiTheme="majorHAnsi" w:hAnsiTheme="majorHAnsi" w:cstheme="majorHAnsi"/>
          <w:i/>
          <w:iCs/>
        </w:rPr>
        <w:t xml:space="preserve">Principal Business Strategist – GTM Plan, Business Architectural Roadmap, Blueprint to Obtain Necessary Funding – Healthcare FinTech Start-Up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Own go-to-market for an AI compliance product sold into independent clinical practices — segmentation, positioning, pricing tiers ($99/$249), channel strategy, and the sequencing that determines which motion gets funded first.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Built the multi-tenant, role-scoped client engagement tracker that runs the advisory practice using Claude Code — including 60 automated tests asserting cross-client data isolation — with no prior engineering background.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Designed and launched a 30–40 interview customer discovery sprint to size real addressable demand — screener, interview guide, scoring rubric, and 150-practice candidate universe built from scratch — classifying prospects by platform dependence against a pre-agreed threshold that fires a documented kill/pivot decision instead of a debate.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Concluded that distribution — not product — decides the outcome, redirecting GTM toward malpractice-carrier and professional-association channel partnerships after modeling that a direct human sales motion cannot carry a 12–18 month CAC payback at those price points.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Set the unit-economic gates the motion is now measured against: blended CAC under $900, payback under 12 months, monthly churn under 5%, time-to-first-value under 7 days.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Produced the customer- and investor-facing collateral the company now sells with: pitch deck, competitive battlecards, partner negotiation sheets, and an eight-document executive round table with per-presentation talking points.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Mapped a $0.76B category projected to reach $5.9B by 2035 (22.8% CAGR), benchmarked five direct comparables across four structural models, and built a decision tree of four exit paths with base-rate odds attached — including the cautionary comparable that won regulatory clearance and still failed on commercialization.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Ran financial forecasting (P&amp;L, tool-stack cost model, Year-1 ARR band) and barriers-to-entry analysis to price strategic alternatives before capital committed; recommended a ~$2.15M non-dilutive federal funding route over an equity raise, tied to a dated decision gate.</w:t>
      </w:r>
    </w:p>
    <w:p>
      <w:pPr>
        <w:pStyle w:val="ListParagraph"/>
        <w:numPr>
          <w:ilvl w:val="0"/>
          <w:numId w:val="5"/>
        </w:numPr>
        <w:spacing w:after="160" w:line="250" w:lineRule="auto"/>
        <w:contextualSpacing w:val="0"/>
      </w:pPr>
      <w:r>
        <w:rPr>
          <w:rFonts w:asciiTheme="majorHAnsi" w:hAnsiTheme="majorHAnsi" w:cstheme="majorHAnsi"/>
        </w:rPr>
        <w:t xml:space="preserve">Applied scenario planning and second- and third-order consequence analysis across business, technology, regulatory, and organizational exposure — surfacing downstream consequences before commitments locked in.</w:t>
      </w:r>
    </w:p>
    <w:p>
      <w:pPr>
        <w:keepNext/>
        <w:spacing w:after="80"/>
      </w:pPr>
      <w:r>
        <w:rPr>
          <w:rFonts w:asciiTheme="majorHAnsi" w:hAnsiTheme="majorHAnsi" w:cstheme="majorHAnsi"/>
          <w:b/>
          <w:bCs/>
        </w:rPr>
        <w:t xml:space="preserve">HVAC Services Firm (Confidential)</w:t>
      </w:r>
      <w:r>
        <w:rPr>
          <w:rFonts w:asciiTheme="majorHAnsi" w:hAnsiTheme="majorHAnsi" w:cstheme="majorHAnsi"/>
          <w:b/>
          <w:bCs/>
          <w:i/>
          <w:iCs/>
        </w:rPr>
        <w:t xml:space="preserve"> | Santa Clarita, CA |</w:t>
      </w:r>
      <w:r>
        <w:rPr>
          <w:rFonts w:asciiTheme="majorHAnsi" w:hAnsiTheme="majorHAnsi" w:cstheme="majorHAnsi"/>
          <w:b/>
          <w:bCs/>
        </w:rPr>
        <w:t xml:space="preserve"> August 2026 – September 2026</w:t>
      </w:r>
      <w:r>
        <w:rPr>
          <w:rFonts w:asciiTheme="majorHAnsi" w:hAnsiTheme="majorHAnsi" w:cstheme="majorHAnsi"/>
        </w:rPr>
        <w:t xml:space="preserve"> (pro bono)</w:t>
      </w:r>
    </w:p>
    <w:p>
      <w:pPr>
        <w:keepNext/>
        <w:spacing w:after="80"/>
      </w:pPr>
      <w:r>
        <w:rPr>
          <w:rFonts w:asciiTheme="majorHAnsi" w:hAnsiTheme="majorHAnsi" w:cstheme="majorHAnsi"/>
          <w:i/>
          <w:iCs/>
        </w:rPr>
        <w:t xml:space="preserve">Consultant - Principal Analyst GTM Expansion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Designed and built the engagement's decision system end-to-end: an intake form converting raw inputs into a structured client profile, source-tagged evidence tracking, pre-set go/no-go criteria, and a phase-gated scan list sequencing the full analysis.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Ran a two-site catchment and new-territory analysis for a services operator's proposed branch expansion, mapping drive-time overlap against existing sites and setting the monthly cost ceiling the location had to clear to justify the investment.</w:t>
      </w:r>
    </w:p>
    <w:p>
      <w:pPr>
        <w:pStyle w:val="ListParagraph"/>
        <w:numPr>
          <w:ilvl w:val="0"/>
          <w:numId w:val="5"/>
        </w:numPr>
        <w:spacing w:after="40" w:line="250" w:lineRule="auto"/>
        <w:contextualSpacing w:val="0"/>
      </w:pPr>
      <w:r>
        <w:rPr>
          <w:rFonts w:asciiTheme="majorHAnsi" w:hAnsiTheme="majorHAnsi" w:cstheme="majorHAnsi"/>
        </w:rPr>
        <w:t xml:space="preserve">Built a feasibility dashboard with kill/pivot triggers for an HVAC firm's market-overlap expansion, using cost-ceilings to curb cannibalization and protect profit.</w:t>
      </w:r>
    </w:p>
    <w:p>
      <w:pPr>
        <w:pStyle w:val="ListParagraph"/>
        <w:numPr>
          <w:ilvl w:val="0"/>
          <w:numId w:val="5"/>
        </w:numPr>
        <w:spacing w:after="160" w:line="250" w:lineRule="auto"/>
        <w:contextualSpacing w:val="0"/>
      </w:pPr>
      <w:r>
        <w:rPr>
          <w:rFonts w:asciiTheme="majorHAnsi" w:hAnsiTheme="majorHAnsi" w:cstheme="majorHAnsi"/>
        </w:rPr>
        <w:t xml:space="preserve">Analyzed a proposed expansion site for an HVAC services firm and delivered a feasibility roadmap and governance framework built on a cost-ceiling approach, giving leadership a structured basis for evaluating the expansion decision beyond the initial feasibility dashboard.</w:t>
      </w:r>
    </w:p>
    <w:p>
      <w:pPr>
        <w:pStyle w:val="Heading1"/>
        <w:keepNext/>
        <w:pBdr>
          <w:bottom w:val="single" w:sz="6" w:space="2" w:color="999999"/>
        </w:pBdr>
        <w:spacing w:before="240" w:after="100"/>
      </w:pPr>
      <w:r>
        <w:rPr>
          <w:rFonts w:asciiTheme="majorHAnsi" w:hAnsiTheme="majorHAnsi" w:cstheme="majorHAnsi"/>
          <w:b/>
          <w:bCs/>
          <w:color w:val="1F3864"/>
          <w:sz w:val="20"/>
          <w:szCs w:val="20"/>
        </w:rPr>
        <w:t xml:space="preserve">Core Competencies</w:t>
      </w:r>
    </w:p>
    <w:p>
      <w:pPr>
        <w:pStyle w:val="ListParagraph"/>
        <w:numPr>
          <w:ilvl w:val="0"/>
          <w:numId w:val="2"/>
        </w:numPr>
        <w:spacing w:after="70" w:line="250" w:lineRule="auto"/>
      </w:pPr>
      <w:r>
        <w:rPr>
          <w:rFonts w:asciiTheme="majorHAnsi" w:hAnsiTheme="majorHAnsi" w:cstheme="majorHAnsi"/>
          <w:b/>
          <w:bCs/>
        </w:rPr>
        <w:t xml:space="preserve">Go-To-Market &amp; Revenue: </w:t>
      </w:r>
      <w:r>
        <w:rPr>
          <w:rFonts w:asciiTheme="majorHAnsi" w:hAnsiTheme="majorHAnsi" w:cstheme="majorHAnsi"/>
        </w:rPr>
        <w:t xml:space="preserve">client retention, revenue forecasting &amp; KPI tracking, GTM strategy, customer discovery, pipeline management, solution selling, value proposition development, proposal development, market segmentation, product positioning &amp; messaging, contract negotiation, account mapping</w:t>
      </w:r>
    </w:p>
    <w:p>
      <w:pPr>
        <w:pStyle w:val="ListParagraph"/>
        <w:numPr>
          <w:ilvl w:val="0"/>
          <w:numId w:val="2"/>
        </w:numPr>
        <w:spacing w:after="70" w:line="250" w:lineRule="auto"/>
      </w:pPr>
      <w:r>
        <w:rPr>
          <w:rFonts w:asciiTheme="majorHAnsi" w:hAnsiTheme="majorHAnsi" w:cstheme="majorHAnsi"/>
          <w:b/>
          <w:bCs/>
        </w:rPr>
        <w:t xml:space="preserve">Research &amp; Analysis: </w:t>
      </w:r>
      <w:r>
        <w:rPr>
          <w:rFonts w:asciiTheme="majorHAnsi" w:hAnsiTheme="majorHAnsi" w:cstheme="majorHAnsi"/>
        </w:rPr>
        <w:t xml:space="preserve">Market landscape analysis, financial forecasting (P&amp;L), business process improvement, barriers-to-entry assessment, competitive intelligence, decision-tree modeling, unit economics (CAC, payback, churn, TTFV), scenario planning</w:t>
      </w:r>
    </w:p>
    <w:p>
      <w:pPr>
        <w:pStyle w:val="ListParagraph"/>
        <w:numPr>
          <w:ilvl w:val="0"/>
          <w:numId w:val="2"/>
        </w:numPr>
        <w:spacing w:after="70" w:line="250" w:lineRule="auto"/>
      </w:pPr>
      <w:r>
        <w:rPr>
          <w:rFonts w:asciiTheme="majorHAnsi" w:hAnsiTheme="majorHAnsi" w:cstheme="majorHAnsi"/>
          <w:b/>
          <w:bCs/>
        </w:rPr>
        <w:t xml:space="preserve">AI &amp; Data: </w:t>
      </w:r>
      <w:r>
        <w:rPr>
          <w:rFonts w:asciiTheme="majorHAnsi" w:hAnsiTheme="majorHAnsi" w:cstheme="majorHAnsi"/>
        </w:rPr>
        <w:t xml:space="preserve">Claude (Opus 5, Sonnet 5, Fable 5), OpenAI / ChatGPT, Microsoft Copilot, prompt engineering, AI governance &amp; output verification, data analytics, Tableau, GenAI &amp; machine learning, Claude Code</w:t>
      </w:r>
    </w:p>
    <w:p>
      <w:pPr>
        <w:pStyle w:val="ListParagraph"/>
        <w:numPr>
          <w:ilvl w:val="0"/>
          <w:numId w:val="2"/>
        </w:numPr>
        <w:spacing w:after="70" w:line="250" w:lineRule="auto"/>
      </w:pPr>
      <w:r>
        <w:rPr>
          <w:rFonts w:asciiTheme="majorHAnsi" w:hAnsiTheme="majorHAnsi" w:cstheme="majorHAnsi"/>
          <w:b/>
          <w:bCs/>
        </w:rPr>
        <w:t xml:space="preserve">Tools &amp; Platforms: </w:t>
      </w:r>
      <w:r>
        <w:rPr>
          <w:rFonts w:asciiTheme="majorHAnsi" w:hAnsiTheme="majorHAnsi" w:cstheme="majorHAnsi"/>
        </w:rPr>
        <w:t xml:space="preserve">Salesforce CRM, ZoomInfo, LinkedIn Sales Navigator, Trello, Microsoft Excel &amp; Office Suite, Miro, Canva</w:t>
      </w:r>
    </w:p>
    <w:p>
      <w:pPr>
        <w:pStyle w:val="ListParagraph"/>
        <w:numPr>
          <w:ilvl w:val="0"/>
          <w:numId w:val="2"/>
        </w:numPr>
        <w:spacing w:after="70" w:line="250" w:lineRule="auto"/>
      </w:pPr>
      <w:r>
        <w:rPr>
          <w:rFonts w:asciiTheme="majorHAnsi" w:hAnsiTheme="majorHAnsi" w:cstheme="majorHAnsi"/>
          <w:b/>
          <w:bCs/>
        </w:rPr>
        <w:t xml:space="preserve">Funding &amp; Commercial Mechanics: </w:t>
      </w:r>
      <w:r>
        <w:rPr>
          <w:rFonts w:asciiTheme="majorHAnsi" w:hAnsiTheme="majorHAnsi" w:cstheme="majorHAnsi"/>
        </w:rPr>
        <w:t xml:space="preserve">managed services &amp; RFP response, Restricted &amp; tax-advantaged funding mechanisms (co-op, MDF, 501(c)(3)), non-dilutive federal grant strategy (SBIR), board &amp; trustee engagement</w:t>
      </w:r>
    </w:p>
    <w:sectPr>
      <w:pgSz w:w="12240" w:h="15840"/>
      <w:pgMar w:top="720" w:right="900" w:bottom="720" w:left="90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67167"/>
    <w:multiLevelType w:val="multilevel"/>
    <w:tmpl w:val="9E3E4C06"/>
    <w:lvl w:ilvl="0">
      <w:start w:val="1"/>
      <w:numFmt w:val="bullet"/>
      <w:lvlText w:val="•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5AB16C9"/>
    <w:multiLevelType w:val="hybridMultilevel"/>
    <w:tmpl w:val="B1B284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16613"/>
    <w:multiLevelType w:val="multilevel"/>
    <w:tmpl w:val="B3683D60"/>
    <w:lvl w:ilvl="0">
      <w:start w:val="1"/>
      <w:numFmt w:val="bullet"/>
      <w:lvlText w:val="•"/>
      <w:lvlJc w:val="left"/>
      <w:pPr>
        <w:ind w:left="360" w:hanging="360"/>
      </w:pPr>
      <w:rPr>
        <w:rFonts w:hint="default"/>
      </w:rPr>
    </w:lvl>
    <w:lvl w:ilvl="1">
      <w:numFmt w:val="decimal"/>
      <w:lvlText w:val="%2"/>
      <w:lvlJc w:val="left"/>
      <w:pPr>
        <w:ind w:left="0" w:firstLine="0"/>
      </w:pPr>
      <w:rPr>
        <w:rFonts w:hint="default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5F8A03F2"/>
    <w:multiLevelType w:val="hybridMultilevel"/>
    <w:tmpl w:val="C8BA1B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77A0A32"/>
    <w:multiLevelType w:val="multilevel"/>
    <w:tmpl w:val="E6921468"/>
    <w:lvl w:ilvl="0">
      <w:start w:val="1"/>
      <w:numFmt w:val="bullet"/>
      <w:lvlText w:val="•"/>
      <w:lvlJc w:val="left"/>
      <w:pPr>
        <w:ind w:left="360" w:hanging="360"/>
      </w:pPr>
      <w:rPr>
        <w:rFonts w:hint="default"/>
      </w:rPr>
    </w:lvl>
    <w:lvl w:ilvl="1">
      <w:numFmt w:val="decimal"/>
      <w:lvlText w:val=""/>
      <w:lvlJc w:val="left"/>
      <w:pPr>
        <w:ind w:left="0" w:firstLine="0"/>
      </w:pPr>
      <w:rPr>
        <w:rFonts w:hint="default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6E0462BD"/>
    <w:multiLevelType w:val="hybridMultilevel"/>
    <w:tmpl w:val="71262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234EA6"/>
    <w:multiLevelType w:val="hybridMultilevel"/>
    <w:tmpl w:val="F68ACC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7F3160D1"/>
    <w:multiLevelType w:val="hybridMultilevel"/>
    <w:tmpl w:val="FAC4BC64"/>
    <w:lvl w:ilvl="0" w:tplc="C49AF858">
      <w:start w:val="1"/>
      <w:numFmt w:val="bullet"/>
      <w:lvlText w:val="•"/>
      <w:lvlJc w:val="left"/>
      <w:pPr>
        <w:ind w:left="302" w:hanging="215"/>
      </w:pPr>
      <w:rPr>
        <w:rFonts w:ascii="Calibri" w:eastAsia="Calibri" w:hAnsi="Calibri" w:cs="Calibri"/>
        <w:sz w:val="20"/>
        <w:szCs w:val="20"/>
      </w:rPr>
    </w:lvl>
    <w:lvl w:ilvl="1" w:tplc="EEF846C4">
      <w:numFmt w:val="decimal"/>
      <w:lvlText w:val=""/>
      <w:lvlJc w:val="left"/>
    </w:lvl>
    <w:lvl w:ilvl="2" w:tplc="4DE8322A">
      <w:numFmt w:val="decimal"/>
      <w:lvlText w:val=""/>
      <w:lvlJc w:val="left"/>
    </w:lvl>
    <w:lvl w:ilvl="3" w:tplc="F206905A">
      <w:numFmt w:val="decimal"/>
      <w:lvlText w:val=""/>
      <w:lvlJc w:val="left"/>
    </w:lvl>
    <w:lvl w:ilvl="4" w:tplc="463E4B24">
      <w:numFmt w:val="decimal"/>
      <w:lvlText w:val=""/>
      <w:lvlJc w:val="left"/>
    </w:lvl>
    <w:lvl w:ilvl="5" w:tplc="019E6F9C">
      <w:numFmt w:val="decimal"/>
      <w:lvlText w:val=""/>
      <w:lvlJc w:val="left"/>
    </w:lvl>
    <w:lvl w:ilvl="6" w:tplc="34DA15A0">
      <w:numFmt w:val="decimal"/>
      <w:lvlText w:val=""/>
      <w:lvlJc w:val="left"/>
    </w:lvl>
    <w:lvl w:ilvl="7" w:tplc="20ACCDD2">
      <w:numFmt w:val="decimal"/>
      <w:lvlText w:val=""/>
      <w:lvlJc w:val="left"/>
    </w:lvl>
    <w:lvl w:ilvl="8" w:tplc="72DE2D0C">
      <w:numFmt w:val="decimal"/>
      <w:lvlText w:val=""/>
      <w:lvlJc w:val="left"/>
    </w:lvl>
  </w:abstractNum>
  <w:num w:numId="1" w16cid:durableId="1274701934">
    <w:abstractNumId w:val="4"/>
  </w:num>
  <w:num w:numId="2" w16cid:durableId="1957439769">
    <w:abstractNumId w:val="0"/>
  </w:num>
  <w:num w:numId="3" w16cid:durableId="1289433140">
    <w:abstractNumId w:val="5"/>
  </w:num>
  <w:num w:numId="4" w16cid:durableId="1947036408">
    <w:abstractNumId w:val="1"/>
  </w:num>
  <w:num w:numId="5" w16cid:durableId="705905780">
    <w:abstractNumId w:val="7"/>
    <w:lvlOverride w:ilvl="0">
      <w:startOverride w:val="1"/>
    </w:lvlOverride>
  </w:num>
  <w:num w:numId="6" w16cid:durableId="937908986">
    <w:abstractNumId w:val="3"/>
  </w:num>
  <w:num w:numId="7" w16cid:durableId="1583025952">
    <w:abstractNumId w:val="6"/>
  </w:num>
  <w:num w:numId="8" w16cid:durableId="6216167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795E"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443DA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3DA5"/>
    <w:rPr>
      <w:color w:val="605E5C"/>
      <w:shd w:val="clear" w:color="auto" w:fill="E1DFDD"/>
    </w:rPr>
  </w:style>
  <w:style w:type="paragraph" w:styleId="ListParagraph">
    <w:name w:val="List Paragraph"/>
    <w:basedOn w:val="Normal"/>
    <w:qFormat/>
    <w:rsid w:val="00F726C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00" Type="http://schemas.openxmlformats.org/officeDocument/2006/relationships/hyperlink" Target="https://www.linkedin.com/in/timothy-king1124/?skipRedirect=true" TargetMode="External"/><Relationship Id="rId101" Type="http://schemas.openxmlformats.org/officeDocument/2006/relationships/hyperlink" Target="https://github.com/timrking11-blip" TargetMode="External"/><Relationship Id="rId102" Type="http://schemas.openxmlformats.org/officeDocument/2006/relationships/hyperlink" Target="https://www.strategicmarketinsights.service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Resume Optimization Tool</Application>
  <DocSecurity>0</DocSecurity>
  <ScaleCrop>false</ScaleCrop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 King — Resume</dc:title>
  <dc:creator>Tim King</dc:creator>
  <cp:lastModifiedBy>Tim King</cp:lastModifiedBy>
  <dcterms:created xsi:type="dcterms:W3CDTF">2026-10-01T15:59:25Z</dcterms:created>
  <dcterms:modified xsi:type="dcterms:W3CDTF">2026-10-01T15:59:25Z</dcterms:modified>
</cp:coreProperties>
</file>