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Riley Mahoney</w:t>
      </w:r>
    </w:p>
    <w:p>
      <w:r>
        <w:rPr>
          <w:i/>
        </w:rPr>
        <w:t xml:space="preserve">Media Sales &amp; Partnerships | Retail Media | Growth Marketing</w:t>
      </w:r>
    </w:p>
    <w:p>
      <w:r>
        <w:t xml:space="preserve">Denver, CO | (555) 010-0199 | riley.mahoney@example.com | linkedin.com/in/rileymahoney-example</w:t>
      </w:r>
    </w:p>
    <w:p>
      <w:pPr>
        <w:pStyle w:val="Heading1"/>
      </w:pPr>
      <w:r>
        <w:t xml:space="preserve">Summary</w:t>
      </w:r>
    </w:p>
    <w:p>
      <w:r>
        <w:t xml:space="preserve">Media seller and marketer who has built sponsored products, sold retail media to CPG brands and agencies, and run seven-figure budgets. Comfortable in front of CMOs and CFOs with a ROAS case.</w:t>
      </w:r>
    </w:p>
    <w:p>
      <w:pPr>
        <w:pStyle w:val="Heading1"/>
      </w:pPr>
      <w:r>
        <w:t xml:space="preserve">Core Skills</w:t>
      </w:r>
    </w:p>
    <w:p>
      <w:r>
        <w:t xml:space="preserve">Retail media networks • Agency partnerships • ROAS and CPM business cases • Discovery and multi-stakeholder selling • Newsletter and lifecycle marketing • Paid social • Budget ownership • Salesforce, HubSpot, The Trade Desk, Google Analytics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rPr>
          <w:b/>
        </w:rPr>
        <w:t xml:space="preserve">Halcyon Metrics — </w:t>
      </w:r>
      <w:r>
        <w:rPr>
          <w:b/>
        </w:rPr>
        <w:t xml:space="preserve">Director of Revenue Operations</w:t>
      </w:r>
      <w:r>
        <w:t xml:space="preserve"> (Denver, CO) · Jan 2024 – Present</w:t>
      </w:r>
    </w:p>
    <w:p>
      <w:pPr>
        <w:pStyle w:val="ListParagraph"/>
        <w:numPr>
          <w:ilvl w:val="0"/>
          <w:numId w:val="1"/>
        </w:numPr>
      </w:pPr>
      <w:r>
        <w:t xml:space="preserve">Merged 3 CRMs into one Salesforce org, giving sales, CS and marketing one customer record.</w:t>
      </w:r>
    </w:p>
    <w:p>
      <w:pPr>
        <w:pStyle w:val="Heading2"/>
      </w:pPr>
      <w:r>
        <w:rPr>
          <w:b/>
        </w:rPr>
        <w:t xml:space="preserve">Kestrel Adtech — </w:t>
      </w:r>
      <w:r>
        <w:rPr>
          <w:b/>
        </w:rPr>
        <w:t xml:space="preserve">Senior Account Executive</w:t>
      </w:r>
      <w:r>
        <w:t xml:space="preserve"> (Remote) · Mar 2021 – Nov 2023</w:t>
      </w:r>
    </w:p>
    <w:p>
      <w:pPr>
        <w:pStyle w:val="ListParagraph"/>
        <w:numPr>
          <w:ilvl w:val="0"/>
          <w:numId w:val="1"/>
        </w:numPr>
      </w:pPr>
      <w:r>
        <w:t xml:space="preserve">Delivered $2.4M in new business in FY2023 (128% of quota), first of nine on the team.</w:t>
      </w:r>
    </w:p>
    <w:p>
      <w:pPr>
        <w:pStyle w:val="ListParagraph"/>
        <w:numPr>
          <w:ilvl w:val="0"/>
          <w:numId w:val="1"/>
        </w:numPr>
      </w:pPr>
      <w:r>
        <w:t xml:space="preserve">Won the retail media network's first three grocery accounts, including a $600K annual commitment from a regional chain.</w:t>
      </w:r>
    </w:p>
    <w:p>
      <w:pPr>
        <w:pStyle w:val="ListParagraph"/>
        <w:numPr>
          <w:ilvl w:val="0"/>
          <w:numId w:val="1"/>
        </w:numPr>
      </w:pPr>
      <w:r>
        <w:t xml:space="preserve">Wrote the ROAS/CPM business case template used with CMO and CFO buyers; average deal size grew 35%.</w:t>
      </w:r>
    </w:p>
    <w:p>
      <w:pPr>
        <w:pStyle w:val="ListParagraph"/>
        <w:numPr>
          <w:ilvl w:val="0"/>
          <w:numId w:val="1"/>
        </w:numPr>
      </w:pPr>
      <w:r>
        <w:t xml:space="preserve">Ran discovery-led cycles with buying committees of 6 to 8 stakeholders across brand, agency and finance teams.</w:t>
      </w:r>
    </w:p>
    <w:p>
      <w:pPr>
        <w:pStyle w:val="ListParagraph"/>
        <w:numPr>
          <w:ilvl w:val="0"/>
          <w:numId w:val="1"/>
        </w:numPr>
      </w:pPr>
      <w:r>
        <w:t xml:space="preserve">Expanded the network into 12 new brands in 18 months through agency holding-company partnerships.</w:t>
      </w:r>
    </w:p>
    <w:p>
      <w:pPr>
        <w:pStyle w:val="Heading2"/>
      </w:pPr>
      <w:r>
        <w:rPr>
          <w:b/>
        </w:rPr>
        <w:t xml:space="preserve">Pinecrest Sports Media — </w:t>
      </w:r>
      <w:r>
        <w:rPr>
          <w:b/>
        </w:rPr>
        <w:t xml:space="preserve">Senior Marketing Manager</w:t>
      </w:r>
      <w:r>
        <w:t xml:space="preserve"> (Boulder, CO) · Jun 2018 – Feb 2021</w:t>
      </w:r>
    </w:p>
    <w:p>
      <w:pPr>
        <w:pStyle w:val="ListParagraph"/>
        <w:numPr>
          <w:ilvl w:val="0"/>
          <w:numId w:val="1"/>
        </w:numPr>
      </w:pPr>
      <w:r>
        <w:t xml:space="preserve">Grew the newsletter from 40,000 to 110,000 subscribers in 18 months at a 38% open rate.</w:t>
      </w:r>
    </w:p>
    <w:p>
      <w:pPr>
        <w:pStyle w:val="ListParagraph"/>
        <w:numPr>
          <w:ilvl w:val="0"/>
          <w:numId w:val="1"/>
        </w:numPr>
      </w:pPr>
      <w:r>
        <w:t xml:space="preserve">Created and sold a sponsored-content product: $850,000 in revenue in its first year.</w:t>
      </w:r>
    </w:p>
    <w:p>
      <w:pPr>
        <w:pStyle w:val="ListParagraph"/>
        <w:numPr>
          <w:ilvl w:val="0"/>
          <w:numId w:val="1"/>
        </w:numPr>
      </w:pPr>
      <w:r>
        <w:t xml:space="preserve">Managed a $1.1M annual media budget; paid social returned 3.2x ROAS.</w:t>
      </w:r>
    </w:p>
    <w:p>
      <w:pPr>
        <w:pStyle w:val="Heading1"/>
      </w:pPr>
      <w:r>
        <w:t xml:space="preserve">Education &amp; Certifications</w:t>
      </w:r>
    </w:p>
    <w:p>
      <w:r>
        <w:t xml:space="preserve">B.A., Communication — Lakeside State University (2016)</w:t>
      </w:r>
    </w:p>
    <w:p>
      <w:r>
        <w:t xml:space="preserve">HubSpot Revenue Operations Certification, 2023</w:t>
      </w:r>
    </w:p>
    <w:p>
      <w:r>
        <w:t xml:space="preserve">Google Analytics Individual Qualification, 2020</w:t>
      </w:r>
    </w:p>
    <w:sectPr>
      <w:pgSz w:w="12240" w:h="15840"/>
      <w:pgMar w:top="1008" w:right="1080" w:bottom="1008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0"/>
    </w:pPr>
    <w:rPr>
      <w:b/>
      <w:sz w:val="34"/>
    </w:rPr>
  </w:style>
  <w:style w:type="paragraph" w:styleId="Heading1">
    <w:name w:val="heading 1"/>
    <w:basedOn w:val="Normal"/>
    <w:pPr>
      <w:keepNext/>
      <w:spacing w:before="220" w:after="60"/>
      <w:pBdr>
        <w:bottom w:val="single" w:sz="6" w:space="1" w:color="808080"/>
      </w:pBdr>
    </w:pPr>
    <w:rPr>
      <w:b/>
      <w:caps/>
      <w:sz w:val="22"/>
    </w:rPr>
  </w:style>
  <w:style w:type="paragraph" w:styleId="Heading2">
    <w:name w:val="heading 2"/>
    <w:basedOn w:val="Normal"/>
    <w:pPr>
      <w:keepNext/>
      <w:spacing w:before="140" w:after="20"/>
    </w:pPr>
    <w:rPr>
      <w:b/>
      <w:sz w:val="22"/>
    </w:rPr>
  </w:style>
  <w:style w:type="paragraph" w:styleId="ListParagraph">
    <w:name w:val="List Paragraph"/>
    <w:basedOn w:val="Normal"/>
    <w:pPr>
      <w:ind w:left="36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Riley Mahoney - Media &amp; Partnerships</dc:title>
  <dc:creator>Riley Mahoney</dc:creator>
  <cp:lastModifiedBy>Riley Mahoney</cp:lastModifiedBy>
  <dcterms:created xsi:type="dcterms:W3CDTF">2025-11-14T21:30:00Z</dcterms:created>
  <dcterms:modified xsi:type="dcterms:W3CDTF">2025-11-14T21:30:00Z</dcterms:modified>
</cp:coreProperties>
</file>