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Riley Mahoney</w:t>
      </w:r>
    </w:p>
    <w:p>
      <w:pPr>
        <w:jc w:val="center"/>
      </w:pPr>
      <w:r>
        <w:t xml:space="preserve">Revenue Operations Leader</w:t>
      </w:r>
    </w:p>
    <w:p>
      <w:pPr>
        <w:jc w:val="center"/>
      </w:pPr>
      <w:r>
        <w:t xml:space="preserve">Denver, CO | (555) 010-0199 | riley.mahoney@example.com | linkedin.com/in/rileymahoney-example</w:t>
      </w:r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10080"/>
        </w:tabs>
      </w:pPr>
      <w:r>
        <w:rPr>
          <w:b/>
        </w:rPr>
        <w:t xml:space="preserve">Director of Revenue Operations, Halcyon Metrics</w:t>
      </w:r>
      <w:r>
        <w:tab/>
      </w:r>
      <w:r>
        <w:t xml:space="preserve">January 2024 – Present</w:t>
      </w:r>
    </w:p>
    <w:p>
      <w:r>
        <w:rPr>
          <w:i/>
        </w:rPr>
        <w:t xml:space="preserve">Denver, CO</w:t>
      </w:r>
    </w:p>
    <w:p>
      <w:r>
        <w:t xml:space="preserve">– Redesigned forecasting cadence and stage definitions; forecast accuracy rose from 71% to 93% in two quarters.</w:t>
      </w:r>
    </w:p>
    <w:p>
      <w:r>
        <w:t xml:space="preserve">– Led the consolidation of 3 CRMs into one Salesforce instance across sales, customer success and marketing, retiring two legacy tools.</w:t>
      </w:r>
    </w:p>
    <w:p>
      <w:r>
        <w:t xml:space="preserve">– Introduced routing and SLA rules that took speed-to-lead from 26 hours to under 2 hours; SQL-to-opportunity conversion improved 18 points.</w:t>
      </w:r>
    </w:p>
    <w:p>
      <w:r>
        <w:t xml:space="preserve">– Owned pricing and packaging for the mid-market tier, which reached $1,200,000 in ARR in year one.</w:t>
      </w:r>
    </w:p>
    <w:p>
      <w:r>
        <w:t xml:space="preserve">– Manage a team of 4 (two analysts and two Salesforce administrators) supporting a 60-person revenue organization.</w:t>
      </w:r>
    </w:p>
    <w:p>
      <w:r>
        <w:t xml:space="preserve">– Grew qualified pipeline to $6.8M through territory redesign and a new SDR-to-AE handoff.</w:t>
      </w:r>
    </w:p>
    <w:p>
      <w:pPr>
        <w:pStyle w:val="Heading2"/>
        <w:tabs>
          <w:tab w:val="right" w:pos="10080"/>
        </w:tabs>
      </w:pPr>
      <w:r>
        <w:rPr>
          <w:b/>
        </w:rPr>
        <w:t xml:space="preserve">Fractional GTM Advisor (part-time), Larkspur Health</w:t>
      </w:r>
      <w:r>
        <w:tab/>
      </w:r>
      <w:r>
        <w:t xml:space="preserve">February 2023 – August 2023</w:t>
      </w:r>
    </w:p>
    <w:p>
      <w:r>
        <w:rPr>
          <w:i/>
        </w:rPr>
        <w:t xml:space="preserve">Remote</w:t>
      </w:r>
    </w:p>
    <w:p>
      <w:r>
        <w:t xml:space="preserve">– Defined the ideal customer profile and three pricing tiers for a digital health startup; the first 5 pilot clinics signed within 4 months.</w:t>
      </w:r>
    </w:p>
    <w:p>
      <w:r>
        <w:t xml:space="preserve">– Built the sales narrative and a 30-interview customer discovery plan the founders ran before raising their seed round.</w:t>
      </w:r>
    </w:p>
    <w:p>
      <w:pPr>
        <w:pStyle w:val="Heading2"/>
        <w:tabs>
          <w:tab w:val="right" w:pos="10080"/>
        </w:tabs>
      </w:pPr>
      <w:r>
        <w:rPr>
          <w:b/>
        </w:rPr>
        <w:t xml:space="preserve">Senior Account Executive, Kestrel Adtech</w:t>
      </w:r>
      <w:r>
        <w:tab/>
      </w:r>
      <w:r>
        <w:t xml:space="preserve">March 2021 – November 2023</w:t>
      </w:r>
    </w:p>
    <w:p>
      <w:r>
        <w:rPr>
          <w:i/>
        </w:rPr>
        <w:t xml:space="preserve">Remote</w:t>
      </w:r>
    </w:p>
    <w:p>
      <w:pPr>
        <w:pStyle w:val="Heading2"/>
        <w:tabs>
          <w:tab w:val="right" w:pos="10080"/>
        </w:tabs>
      </w:pPr>
      <w:r>
        <w:rPr>
          <w:b/>
        </w:rPr>
        <w:t xml:space="preserve">Marketing Manager, Pinecrest Sports Media</w:t>
      </w:r>
      <w:r>
        <w:tab/>
      </w:r>
      <w:r>
        <w:t xml:space="preserve">June 2018 – February 2021</w:t>
      </w:r>
    </w:p>
    <w:p>
      <w:r>
        <w:rPr>
          <w:i/>
        </w:rPr>
        <w:t xml:space="preserve">Boulder, CO</w:t>
      </w:r>
    </w:p>
    <w:p>
      <w:r>
        <w:t xml:space="preserve">– Ran audience growth, sponsored content and a $1.1M media budget for three regional sports properties.</w:t>
      </w:r>
    </w:p>
    <w:p>
      <w:pPr>
        <w:pStyle w:val="Heading1"/>
      </w:pPr>
      <w:r>
        <w:t xml:space="preserve">Skills</w:t>
      </w:r>
    </w:p>
    <w:tbl>
      <w:tblPr>
        <w:tblW w:w="10080" w:type="dxa"/>
        <w:tblBorders>
          <w:insideH w:val="single" w:sz="4" w:color="BFBFBF"/>
        </w:tblBorders>
      </w:tblPr>
      <w:tblGrid>
        <w:gridCol w:w="2400"/>
        <w:gridCol w:w="7680"/>
      </w:tblGrid>
      <w:tr>
        <w:tc>
          <w:tcPr>
            <w:tcW w:w="2400" w:type="dxa"/>
          </w:tcPr>
          <w:p>
            <w:r>
              <w:t xml:space="preserve">Systems</w:t>
            </w:r>
          </w:p>
        </w:tc>
        <w:tc>
          <w:tcPr>
            <w:tcW w:w="7680" w:type="dxa"/>
          </w:tcPr>
          <w:p>
            <w:r>
              <w:t xml:space="preserve">Salesforce (admin), HubSpot, Outreach, Gong, Looker, Tableau, ZoomInfo</w:t>
            </w:r>
          </w:p>
        </w:tc>
      </w:tr>
      <w:tr>
        <w:tc>
          <w:tcPr>
            <w:tcW w:w="2400" w:type="dxa"/>
          </w:tcPr>
          <w:p>
            <w:r>
              <w:t xml:space="preserve">Revenue operations</w:t>
            </w:r>
          </w:p>
        </w:tc>
        <w:tc>
          <w:tcPr>
            <w:tcW w:w="7680" w:type="dxa"/>
          </w:tcPr>
          <w:p>
            <w:r>
              <w:t xml:space="preserve">Forecasting, territory design, lead routing, pricing and packaging, CRM consolidation</w:t>
            </w:r>
          </w:p>
        </w:tc>
      </w:tr>
      <w:tr>
        <w:tc>
          <w:tcPr>
            <w:tcW w:w="2400" w:type="dxa"/>
          </w:tcPr>
          <w:p>
            <w:r>
              <w:t xml:space="preserve">Go-to-market</w:t>
            </w:r>
          </w:p>
        </w:tc>
        <w:tc>
          <w:tcPr>
            <w:tcW w:w="7680" w:type="dxa"/>
          </w:tcPr>
          <w:p>
            <w:r>
              <w:t xml:space="preserve">ICP definition, discovery interviews, pricing tiers, sales narrative, pilot programs</w:t>
            </w:r>
          </w:p>
        </w:tc>
      </w:tr>
    </w:tbl>
    <w:p>
      <w:pPr>
        <w:pStyle w:val="Heading1"/>
      </w:pPr>
      <w:r>
        <w:t xml:space="preserve">Education &amp; Certifications</w:t>
      </w:r>
    </w:p>
    <w:p>
      <w:r>
        <w:t xml:space="preserve">Lakeside State University — B.A., Communication (2016)</w:t>
      </w:r>
    </w:p>
    <w:p>
      <w:r>
        <w:t xml:space="preserve">HubSpot Revenue Operations Certification (2023)</w:t>
      </w:r>
    </w:p>
    <w:sectPr>
      <w:pgSz w:w="12240" w:h="15840"/>
      <w:pgMar w:top="1008" w:right="1080" w:bottom="1008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0"/>
    </w:pPr>
    <w:rPr>
      <w:b/>
      <w:sz w:val="34"/>
    </w:rPr>
  </w:style>
  <w:style w:type="paragraph" w:styleId="Heading1">
    <w:name w:val="heading 1"/>
    <w:basedOn w:val="Normal"/>
    <w:pPr>
      <w:keepNext/>
      <w:spacing w:before="220" w:after="60"/>
      <w:pBdr>
        <w:bottom w:val="single" w:sz="6" w:space="1" w:color="808080"/>
      </w:pBdr>
    </w:pPr>
    <w:rPr>
      <w:b/>
      <w:caps/>
      <w:sz w:val="22"/>
    </w:rPr>
  </w:style>
  <w:style w:type="paragraph" w:styleId="Heading2">
    <w:name w:val="heading 2"/>
    <w:basedOn w:val="Normal"/>
    <w:pPr>
      <w:keepNext/>
      <w:spacing w:before="140" w:after="20"/>
    </w:pPr>
    <w:rPr>
      <w:b/>
      <w:sz w:val="22"/>
    </w:rPr>
  </w:style>
  <w:style w:type="paragraph" w:styleId="ListParagraph">
    <w:name w:val="List Paragraph"/>
    <w:basedOn w:val="Normal"/>
    <w:pPr>
      <w:ind w:left="36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Mahoney - Revenue Operations</dc:title>
  <dc:creator>Riley Mahoney</dc:creator>
  <cp:lastModifiedBy>Riley Mahoney</cp:lastModifiedBy>
  <dcterms:created xsi:type="dcterms:W3CDTF">2026-08-20T13:05:00Z</dcterms:created>
  <dcterms:modified xsi:type="dcterms:W3CDTF">2026-08-20T13:05:00Z</dcterms:modified>
</cp:coreProperties>
</file>