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Theme="majorHAnsi" w:hAnsiTheme="majorHAnsi" w:cstheme="majorHAnsi"/>
          <w:b/>
          <w:bCs/>
          <w:color w:val="1F3864"/>
        </w:rPr>
        <w:t xml:space="preserve">Tim King</w:t>
      </w:r>
    </w:p>
    <w:p>
      <w:pPr>
        <w:spacing w:after="200"/>
        <w:jc w:val="center"/>
      </w:pPr>
      <w:r>
        <w:rPr>
          <w:rFonts w:asciiTheme="majorHAnsi" w:hAnsiTheme="majorHAnsi" w:cstheme="majorHAnsi"/>
          <w:color w:val="444444"/>
        </w:rPr>
        <w:t xml:space="preserve">New York, NY | (617) 960-7176 | tim.r.king11@gmail.com | </w:t>
      </w:r>
      <w:hyperlink r:id="rId100" w:history="1">
        <w:r>
          <w:rPr>
            <w:rStyle w:val="Hyperlink"/>
            <w:rFonts w:asciiTheme="majorHAnsi" w:hAnsiTheme="majorHAnsi" w:cstheme="majorHAnsi"/>
          </w:rPr>
          <w:t xml:space="preserve">LinkedIn Profile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1" w:history="1">
        <w:r>
          <w:rPr>
            <w:rStyle w:val="Hyperlink"/>
            <w:rFonts w:asciiTheme="majorHAnsi" w:hAnsiTheme="majorHAnsi" w:cstheme="majorHAnsi"/>
          </w:rPr>
          <w:t xml:space="preserve">GitHub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2" w:history="1">
        <w:r>
          <w:rPr>
            <w:rStyle w:val="Hyperlink"/>
            <w:rFonts w:asciiTheme="majorHAnsi" w:hAnsiTheme="majorHAnsi" w:cstheme="majorHAnsi"/>
          </w:rPr>
          <w:t xml:space="preserve">Website</w:t>
        </w:r>
      </w:hyperlink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Summary &amp; Areas of Expertise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Marketing, Advertising, Product, Services, &amp; Sales GTM Engineer | AI Adoption Enthusiast | Sales Professional (End to End Sales) | GTM and Sales/Marketing Execution Specialist | Business Strategy | Process Engineer | Systems Thinker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Executive &amp; Board-Level Communication • CPM, CPA &amp; ROI Business Cases • Pricing &amp; Channel Strategy • Contract &amp; Proposal Development • Complex Multi-Stakeholder Negotiation • AI Adoption Strategies for Sales Enablement and Business Growth • Prompt Engineering &amp; AI-Enabled Workflow • Strategic Partnerships &amp; Channel • Media &amp; Sponsorship Sales • Ad-Tech Fluency (CDP, Clean Rooms, Identity Graphs, Measurement) • Go-To-Market Strategy • AI &amp; Data Platform Solution Selling • Revenue Forecasting &amp; KPI Management • Business Analysis &amp; Advisory • Sales Team Coaching &amp; Performance Management • Market Segmentation &amp; Positioning</w:t>
      </w:r>
    </w:p>
    <w:p>
      <w:pPr>
        <w:keepNext/>
        <w:jc w:val="center"/>
      </w:pPr>
      <w:r>
        <w:rPr>
          <w:rFonts w:asciiTheme="majorHAnsi" w:hAnsiTheme="majorHAnsi" w:cstheme="majorHAnsi"/>
          <w:b/>
          <w:bCs/>
          <w:u w:val="single"/>
        </w:rPr>
        <w:t xml:space="preserve">Technologies</w:t>
      </w:r>
      <w:r>
        <w:rPr>
          <w:rFonts w:asciiTheme="majorHAnsi" w:hAnsiTheme="majorHAnsi" w:cstheme="majorHAnsi"/>
          <w:b/>
          <w:bCs/>
        </w:rPr>
        <w:t xml:space="preserve">:</w:t>
      </w:r>
    </w:p>
    <w:p>
      <w:pPr>
        <w:jc w:val="center"/>
      </w:pPr>
      <w:r>
        <w:rPr>
          <w:rFonts w:asciiTheme="majorHAnsi" w:hAnsiTheme="majorHAnsi" w:cstheme="majorHAnsi"/>
        </w:rPr>
        <w:t xml:space="preserve">LinkedIn (Sales Navigator, Recruiter), Microsoft Copilot, Claude &amp; Claude Code (Sonnet 5.x / Opus 5 / Fable 5), OpenAI (GPT-5.6, Sol, Terra, Luna), Model Context Protocol (MCP) Servers, Salesforce (Classic, Lightning), ZoomInfo, Google Tag Manager, Apollo.io, HubSpot, Miro, Tableau (beginner), Microsoft Excel (VLOOKUPs, INDEX-MATCH-MATCH, XLOOKUP), Office-Place Collaboration Tools (Slack, MS Teams, Webex, Google Meet, Zoom), Squarespace, Marketo, Canva, Trello, GitHub, GCP, Visual Studio &amp; VS Code, Microsoft Stack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Education</w:t>
      </w:r>
    </w:p>
    <w:p>
      <w:pPr>
        <w:keepNext/>
        <w:spacing w:after="20"/>
      </w:pPr>
      <w:r>
        <w:rPr>
          <w:rFonts w:asciiTheme="majorHAnsi" w:hAnsiTheme="majorHAnsi" w:cstheme="majorHAnsi"/>
          <w:b/>
          <w:bCs/>
        </w:rPr>
        <w:t xml:space="preserve">University of Maine Business School</w:t>
      </w:r>
    </w:p>
    <w:p>
      <w:pPr>
        <w:spacing w:after="100"/>
      </w:pPr>
      <w:r>
        <w:rPr>
          <w:rFonts w:asciiTheme="majorHAnsi" w:hAnsiTheme="majorHAnsi" w:cstheme="majorHAnsi"/>
          <w:i/>
          <w:iCs/>
          <w:color w:val="444444"/>
        </w:rPr>
        <w:t xml:space="preserve">B.S., Double Major in Finance and Marketing | Spring 2018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Experience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Business Consultant - GTM Engineer &amp; Strategic Advisor | Strategic Market Insights (self-employed)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July 2026 – Present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Advisory &amp; GTM engineering practice · Key Engagement: healthcare AI start-up (confidential)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Own go-to-market for the client's AI compliance product sold to independent clinical practices — segmentation, positioning, $99/$249 tiers, and channel strategy.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the practice's multi-tenant client engagement tracker with Claude Code, with 60 automated tests enforcing cross-client data isolation.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a custom CRM from scratch with GTM and prospecting connectors, automated weekly contact enrichment, and account-research agents two-way synced to GitHub.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Concluded distribution, not product, decides the outcome, redirecting GTM to malpractice-carrier and professional-association channel partners.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Reconciled the client founder's four-pillar vision and three build memos into one staged roadmap: 12 recommendations, 4 stage gates, 8 board decisions.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Advise the CEO and board of a healthcare AI start-up client, translating business, technology, regulatory, and workforce tradeoffs into board-ready decisions.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Negotiated the engagement's terms directly, restructuring a 320-hour proposal into 166 hours at the same fee and pulling the key deliverable to Day 15.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Advertising Sales Director - Pro-Division | Professional Sports Publications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March 2026 – August 2026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Print-Media Advertising Agency supporting all major professional and university sports teams (yearbook and program ad placement)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Modeled a $10.98 blended CPM against 1.32M reach and a $2,849 cost-per-acquisition benchmark to price a $14,500 buy on outcome economics.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Closed 5 signed NFL and MLB team-media partnerships, all paid in full at signing, including 2 accounts with no prior purchase history.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Owned the full sales cycle in a pure new-business role — prospecting, discovery, pricing, proposal, negotiation, and close — with no SDR layer.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and maintained a ~$115K active proposal pipeline through a diagnostic, discovery-first approach rather than a pitch-led one.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Identified key decision-makers with ZoomInfo, LinkedIn Sales Navigator, and AI-assisted account mapping using OpenAI and Claude models.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Specialized Lead - Data Analytics &amp; Insights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2024 – November 2025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the Media &amp; Entertainment vertical GTM motion — discovery frameworks, opportunity taxonomy, CRM tagging — around CDPs, clean rooms, and ad measurement.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Led a team of up to 5 direct reports inside a 30-person practice, coaching performance through daily process reviews and 1:1 metric sessions.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Helped stand up an Oil &amp; Gas company's ML and AI Center of Excellence, applying sensor data to predict and detect gas outages.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Packaged the vertical model into an enablement proposal for Disney Advertising Sales, mapping pipeline stages to first-party data and measurement problems.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Enterprise Recruiter – Global Services Division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2021 – 2024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Boston, MA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Partnered with Nike's global supply chain team on in-season optimization, delivering an AI-powered document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Opened net-new managed services accounts at Wayfair and Disney's ESPN and Entertainment Technology organization from cold.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Generated $750K+ in annual revenue and won the company-wide sales contest in first full year against a national field.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Produced more than half the revenue on Vertex Pharmaceuticals, the firm's largest regional growth account, and expanded into two new groups.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Sales Development Representative / Inside Sales Rep | demandDrive (Amazon Business &amp; RealPage)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2018 – 2021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Waltham, MA · Outsourced SDR and Sales Representative firm. Key Engagements: SaaS product Propertyware for RealPage, Amazon Key for Business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a territory-realignment and post-close operations model adopted company-wide, credited with 150% growth in the Amazon Key for Business launch.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Delivered 200% of first-month quota (12 meetings vs. 6) on a net-new client engagement; named MVP of the Month.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Credentialing &amp; Certifications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Data Analytics &amp; Insights: Data Insights</w:t>
      </w:r>
      <w:r>
        <w:rPr>
          <w:rFonts w:asciiTheme="majorHAnsi" w:hAnsiTheme="majorHAnsi" w:cstheme="majorHAnsi"/>
        </w:rPr>
        <w:t xml:space="preserve"> — TEKsystems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Code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for CoWork</w:t>
      </w:r>
      <w:r>
        <w:rPr>
          <w:rFonts w:asciiTheme="majorHAnsi" w:hAnsiTheme="majorHAnsi" w:cstheme="majorHAnsi"/>
        </w:rPr>
        <w:t xml:space="preserve"> — Anthropic</w:t>
      </w:r>
      <w:r>
        <w:rPr>
          <w:rFonts w:asciiTheme="majorHAnsi" w:hAnsiTheme="majorHAnsi" w:cstheme="majorHAnsi"/>
          <w:i/>
          <w:iCs/>
          <w:color w:val="404040"/>
        </w:rPr>
        <w:t xml:space="preserve"> (In Progress)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Business Consulting Engagements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Healthcare Technology Start-Up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New York, NY |</w:t>
      </w:r>
      <w:r>
        <w:rPr>
          <w:rFonts w:asciiTheme="majorHAnsi" w:hAnsiTheme="majorHAnsi" w:cstheme="majorHAnsi"/>
          <w:b/>
          <w:bCs/>
        </w:rPr>
        <w:t xml:space="preserve"> July 2026 – Present</w:t>
      </w:r>
      <w:r>
        <w:rPr>
          <w:rFonts w:asciiTheme="majorHAnsi" w:hAnsiTheme="majorHAnsi" w:cstheme="majorHAnsi"/>
        </w:rPr>
        <w:t xml:space="preserve"> (Part Time)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Principal Business Strategist – GTM Plan, Business Architectural Roadmap, Blueprint to Obtain Necessary Funding – Healthcare FinTech Start-Up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Own go-to-market for an AI compliance product sold into independent clinical practices — segmentation, positioning, pricing tiers ($99/$249), channel strategy, and the sequencing that determines which motion gets funded first.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Built the multi-tenant, role-scoped client engagement tracker that runs the advisory practice using Claude Code — including 60 automated tests asserting cross-client data isolation — with no prior engineering background.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Concluded that distribution — not product — decides the outcome, redirecting GTM toward malpractice-carrier and professional-association channel partnerships after modeling that a direct human sales motion cannot carry a 12–18 month CAC payback at those price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Set the unit-economic gates the motion is now measured against: blended CAC under $900, payback under 12 months, monthly churn under 5%, time-to-first-value under 7 days.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Mapped a $0.76B category projected to reach $5.9B by 2035 (22.8% CAGR), benchmarked five direct comparables across four structural models, and built a decision tree of four exit paths with base-rate odds attached — including the cautionary comparable that won regulatory clearance and still failed on commercialization.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Designed and launched a 30–40 interview customer discovery sprint to size real addressable demand — screener, interview guide, scoring rubric, and 150-practice candidate universe built from scratch — classifying prospects by platform dependence against a pre-agreed threshold that fires a documented kill/pivot decision instead of a debate.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Produced the customer- and investor-facing collateral the company now sells with: pitch deck, competitive battlecards, partner negotiation sheets, and an eight-document executive round table with per-presentation talking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Applied scenario planning and second- and third-order consequence analysis across business, technology, regulatory, and organizational exposure — surfacing downstream consequences before commitments locked in.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Ran financial forecasting (P&amp;L, tool-stack cost model, Year-1 ARR band) and barriers-to-entry analysis to price strategic alternatives before capital committed; recommended a ~$2.15M non-dilutive federal funding route over an equity raise, tied to a dated decision gate.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Go-To-Market &amp; Revenue: </w:t>
      </w:r>
      <w:r>
        <w:rPr>
          <w:rFonts w:asciiTheme="majorHAnsi" w:hAnsiTheme="majorHAnsi" w:cstheme="majorHAnsi"/>
        </w:rPr>
        <w:t xml:space="preserve">GTM strategy, value proposition development, revenue forecasting &amp; KPI tracking, solution selling, contract negotiation, market segmentation, product positioning &amp; messaging, customer discovery, pipeline management, proposal development, account mapping, client retention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Research &amp; Analysis: </w:t>
      </w:r>
      <w:r>
        <w:rPr>
          <w:rFonts w:asciiTheme="majorHAnsi" w:hAnsiTheme="majorHAnsi" w:cstheme="majorHAnsi"/>
        </w:rPr>
        <w:t xml:space="preserve">financial forecasting (P&amp;L), business process improvement, Market landscape analysis, competitive intelligence, barriers-to-entry assessment, decision-tree modeling, unit economics (CAC, payback, churn, TTFV), scenario planning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AI &amp; Data: </w:t>
      </w:r>
      <w:r>
        <w:rPr>
          <w:rFonts w:asciiTheme="majorHAnsi" w:hAnsiTheme="majorHAnsi" w:cstheme="majorHAnsi"/>
        </w:rPr>
        <w:t xml:space="preserve">Claude (Opus 5, Sonnet 5, Fable 5), OpenAI / ChatGPT, Microsoft Copilot, prompt engineering, AI governance &amp; output verification, GenAI &amp; machine learning, Claude Code, data analytics, Tableau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Tools &amp; Platforms: </w:t>
      </w:r>
      <w:r>
        <w:rPr>
          <w:rFonts w:asciiTheme="majorHAnsi" w:hAnsiTheme="majorHAnsi" w:cstheme="majorHAnsi"/>
        </w:rPr>
        <w:t xml:space="preserve">Salesforce CRM, ZoomInfo, LinkedIn Sales Navigator, Microsoft Excel &amp; Office Suite, Miro, Trello, Canva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Funding &amp; Commercial Mechanics: </w:t>
      </w:r>
      <w:r>
        <w:rPr>
          <w:rFonts w:asciiTheme="majorHAnsi" w:hAnsiTheme="majorHAnsi" w:cstheme="majorHAnsi"/>
        </w:rPr>
        <w:t xml:space="preserve">Restricted &amp; tax-advantaged funding mechanisms (co-op, MDF, 501(c)(3)), non-dilutive federal grant strategy (SBIR), managed services &amp; RFP response, board &amp; trustee engagement</w:t>
      </w:r>
    </w:p>
    <w:sectPr>
      <w:pgSz w:w="12240" w:h="15840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167"/>
    <w:multiLevelType w:val="multilevel"/>
    <w:tmpl w:val="9E3E4C06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AB16C9"/>
    <w:multiLevelType w:val="hybridMultilevel"/>
    <w:tmpl w:val="B1B2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613"/>
    <w:multiLevelType w:val="multilevel"/>
    <w:tmpl w:val="B3683D60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F8A03F2"/>
    <w:multiLevelType w:val="hybridMultilevel"/>
    <w:tmpl w:val="C8BA1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7A0A32"/>
    <w:multiLevelType w:val="multilevel"/>
    <w:tmpl w:val="E6921468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6E0462BD"/>
    <w:multiLevelType w:val="hybridMultilevel"/>
    <w:tmpl w:val="71262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34EA6"/>
    <w:multiLevelType w:val="hybridMultilevel"/>
    <w:tmpl w:val="F68AC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3160D1"/>
    <w:multiLevelType w:val="hybridMultilevel"/>
    <w:tmpl w:val="FAC4BC64"/>
    <w:lvl w:ilvl="0" w:tplc="C49AF858">
      <w:start w:val="1"/>
      <w:numFmt w:val="bullet"/>
      <w:lvlText w:val="•"/>
      <w:lvlJc w:val="left"/>
      <w:pPr>
        <w:ind w:left="302" w:hanging="215"/>
      </w:pPr>
      <w:rPr>
        <w:rFonts w:ascii="Calibri" w:eastAsia="Calibri" w:hAnsi="Calibri" w:cs="Calibri"/>
        <w:sz w:val="20"/>
        <w:szCs w:val="20"/>
      </w:rPr>
    </w:lvl>
    <w:lvl w:ilvl="1" w:tplc="EEF846C4">
      <w:numFmt w:val="decimal"/>
      <w:lvlText w:val=""/>
      <w:lvlJc w:val="left"/>
    </w:lvl>
    <w:lvl w:ilvl="2" w:tplc="4DE8322A">
      <w:numFmt w:val="decimal"/>
      <w:lvlText w:val=""/>
      <w:lvlJc w:val="left"/>
    </w:lvl>
    <w:lvl w:ilvl="3" w:tplc="F206905A">
      <w:numFmt w:val="decimal"/>
      <w:lvlText w:val=""/>
      <w:lvlJc w:val="left"/>
    </w:lvl>
    <w:lvl w:ilvl="4" w:tplc="463E4B24">
      <w:numFmt w:val="decimal"/>
      <w:lvlText w:val=""/>
      <w:lvlJc w:val="left"/>
    </w:lvl>
    <w:lvl w:ilvl="5" w:tplc="019E6F9C">
      <w:numFmt w:val="decimal"/>
      <w:lvlText w:val=""/>
      <w:lvlJc w:val="left"/>
    </w:lvl>
    <w:lvl w:ilvl="6" w:tplc="34DA15A0">
      <w:numFmt w:val="decimal"/>
      <w:lvlText w:val=""/>
      <w:lvlJc w:val="left"/>
    </w:lvl>
    <w:lvl w:ilvl="7" w:tplc="20ACCDD2">
      <w:numFmt w:val="decimal"/>
      <w:lvlText w:val=""/>
      <w:lvlJc w:val="left"/>
    </w:lvl>
    <w:lvl w:ilvl="8" w:tplc="72DE2D0C">
      <w:numFmt w:val="decimal"/>
      <w:lvlText w:val=""/>
      <w:lvlJc w:val="left"/>
    </w:lvl>
  </w:abstractNum>
  <w:num w:numId="1" w16cid:durableId="1274701934">
    <w:abstractNumId w:val="4"/>
  </w:num>
  <w:num w:numId="2" w16cid:durableId="1957439769">
    <w:abstractNumId w:val="0"/>
  </w:num>
  <w:num w:numId="3" w16cid:durableId="1289433140">
    <w:abstractNumId w:val="5"/>
  </w:num>
  <w:num w:numId="4" w16cid:durableId="1947036408">
    <w:abstractNumId w:val="1"/>
  </w:num>
  <w:num w:numId="5" w16cid:durableId="705905780">
    <w:abstractNumId w:val="7"/>
    <w:lvlOverride w:ilvl="0">
      <w:startOverride w:val="1"/>
    </w:lvlOverride>
  </w:num>
  <w:num w:numId="6" w16cid:durableId="937908986">
    <w:abstractNumId w:val="3"/>
  </w:num>
  <w:num w:numId="7" w16cid:durableId="1583025952">
    <w:abstractNumId w:val="6"/>
  </w:num>
  <w:num w:numId="8" w16cid:durableId="62161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95E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43D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DA5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F72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00" Type="http://schemas.openxmlformats.org/officeDocument/2006/relationships/hyperlink" Target="https://www.linkedin.com/in/timothy-king1124/?skipRedirect=true" TargetMode="External"/><Relationship Id="rId101" Type="http://schemas.openxmlformats.org/officeDocument/2006/relationships/hyperlink" Target="https://github.com/timrking11-blip" TargetMode="External"/><Relationship Id="rId102" Type="http://schemas.openxmlformats.org/officeDocument/2006/relationships/hyperlink" Target="https://www.strategicmarketinsights.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Resume Optimization Tool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 King — Resume</dc:title>
  <dc:creator>Tim King</dc:creator>
  <cp:lastModifiedBy>Tim King</cp:lastModifiedBy>
  <dcterms:created xsi:type="dcterms:W3CDTF">2026-09-28T02:18:16Z</dcterms:created>
  <dcterms:modified xsi:type="dcterms:W3CDTF">2026-09-28T02:18:16Z</dcterms:modified>
</cp:coreProperties>
</file>