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Enthusiast | AI Strategy &amp; Workflow Automation Leader | Systems Thinker | Process Engineer | GTM and Sales/Marketing Execution Specialist | Revenue Workflow &amp; Adoption Consultant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AI Adoption Strategies for Sales Enablement and Business Growth • Change Readiness &amp; Stakeholder Alignment • Consultative &amp; Diagnostic Discovery • Revenue Forecasting &amp; KPI Management • Pipeline Development &amp; CRM Discipline • Operating Cadence Design (RACI, Decision Logs) • Sales Team Coaching &amp; Performance Management • Prompt Engineering &amp; AI-Enabled Workflow • Executive &amp; Board-Level Communication • Business Process Improvement • Lead Generation &amp; Prospecting • Business Analysis &amp; Advisory • Strategic Partnerships &amp; Channel • Primary Research &amp; Customer Discovery • Data Rights &amp; Partner Terms • Go-To-Market Strategy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Salesforce (Classic, Lightning), LinkedIn (Sales Navigator, Recruiter), Office-Place Collaboration Tools (Slack, MS Teams, Webex, Google Meet, Zoom), Miro, ZoomInfo, Google Tag Manager, Apollo.io, HubSpot, Trello, Microsoft Copilot, Claude &amp; Claude Code (Sonnet 5.x / Opus 5 / Fable 5), OpenAI (GPT-5.6, Sol, Terra, Luna), Model Context Protocol (MCP) Servers, Tableau (beginner), Microsoft Excel (VLOOKUPs, INDEX-MATCH-MATCH, XLOOKUP), Marketo, Canva, Notion, Squarespace, GitHub, GCP, Visual Studio &amp; VS Code, Microsoft Stack, Gong, Clay, Explorium AI, Salesforce Dashboards, Demandbase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Advised on data agreements and post-discovery NDAs to protect IP and data rights in a proposed partnership, leading to a decision to decline over replication risk.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Compared VC with research-grant funding and recommended an SBIR-funded route that met capital needs and limited equity dilution, yielding a gated 90-day sprint proposal toward funding lock.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 custom CRM with GTM and prospecting connectors, automating weekly contact enrichment and account-research agents two-way synced to GitHub.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Mapped stakeholder intervention and sign-off criteria for a startup client, defining who owned gates and approvals across the engagement.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Presented business architecture, GTM strategy, and SBIR application to CRO, COO, and Chief Clinical Officer, gating 17 items to funding lock.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Designed a RACI matrix and delegation/escalation protocols with CEO sign-off, governing IP decisions and board-ready recommendations.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and maintained a ~$115K active proposal pipeline through a diagnostic, discovery-first approach rather than a pitch-led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Added ~125 net-new qualified prospects per week to Salesforce through targeted account research and stakeholder mapping.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Produced pitch decks for university, building materials and supply, and automotive prospects, using reach, engagement, CPA, and CPM metrics to justify ad spend.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key decision-makers with ZoomInfo, LinkedIn Sales Navigator, and AI-assisted account mapping using OpenAI and Claude models.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Mined macroeconomic ad-pricing data via AI research agents to map proximity-driven print/radio buying patterns and refocus targeting on co-op-funded buyers.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team workshops on using internal and external tools to improve the quality of prospecting lists for assigned requirements.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Business Development on product specifications and customer outcomes, bridging the managed services Architectural committee and Customer Success for Universal Parks &amp; Experiences.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Interviewed candidates for a third-party data services client, screening technical aptitude and start-up fit, and closed the deal through a hiring-manager feedback loop.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Interviewed newly onboarded recruiters alongside the Head of Delivery, assessing sales acumen, process, critical thinking, and cross-functional situation management.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Qualified Southern Gas Company opportunity iteratively using BANT, assessing budget, current and future needs, and urgent timelines for a flex services Center of Excellence build-out.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Led a team of up to 5 direct reports inside a 30-person practice, coaching performance through daily process reviews and 1:1 metric sessions.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Onboarded 3 Data Science and ML consultants to a Southern Company Gas flex services engagement, then ran monthly 1:1s to keep delivery on track.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Ran Salesforce-based win-loss reviews and aligned with business office Directors, Delivery leadership, and regional sales teams under shared department incentives.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Partnered with Nike's global supply chain team on in-season optimization, delivering an AI-powered document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Sourced, screened, and onboarded enterprise technical talent at scale across four years of professional recruiting.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Tracked hiring-trend shifts in remote-work requirements through COVID, identifying incremental employer adaptation in the post-pandemic workplace.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Implemented a staged delivery model with ownership attached to each stage, ensuring subject-matter experts in healthcare compliance and regulation owned the sign-off on technical builds, so every build aligned with the regulatory protocols it had to satisfy.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Advised a healthcare technology start-up on IP ownership and equity tradeoffs while it weighed two funding routes: venture capital and government-funded research through SBIR grants, clarifying what each route meant for ownership.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(pro bono)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built the engagement's decision system end-to-end: an intake form converting raw inputs into a structured client profile, source-tagged evidence tracking, pre-set go/no-go criteria, and a phase-gated scan list sequencing the full analysis.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Advised an HVAC services firm seeking to expand its market presence by researching territory overlap geo-locationally. The analysis moved the firm's expansion plan toward a cost-ceiling approach, with investment limits set by where expansion territories overlapped.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customer discovery, pipeline management, revenue forecasting &amp; KPI tracking, solution selling, client retention, GTM strategy, market segmentation, product positioning &amp; messaging, value proposition development, contract negotiation, proposal development,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financial forecasting (P&amp;L), barriers-to-entry assessment, business process improvement, Market landscape analysis, competitive intelligence,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AI governance &amp; output verification, Claude (Opus 5, Sonnet 5, Fable 5), OpenAI / ChatGPT, Microsoft Copilot, prompt engineering, GenAI &amp; machine learning, Claude Code, data analytics, Tableau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Salesforce CRM, ZoomInfo, LinkedIn Sales Navigator, Trello, Miro, Canva, Microsoft Excel &amp; Office Suite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non-dilutive federal grant strategy (SBIR), Restricted &amp; tax-advantaged funding mechanisms (co-op, MDF, 501(c)(3)), managed services &amp; RFP response,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2026-10-12T16:46:58Z</dcterms:created>
  <dcterms:modified xsi:type="dcterms:W3CDTF">2026-10-12T16:46:58Z</dcterms:modified>
</cp:coreProperties>
</file>