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06974513cafacffcb986e13afaefcc05c7ee581"/>
    <w:p>
      <w:pPr>
        <w:pStyle w:val="Heading1"/>
      </w:pPr>
      <w:r>
        <w:t xml:space="preserve">SPEC-DECOR-0001 Addendum A — Rollout, Legacy Continuity, Prototyping, and Agentic Roadmap</w:t>
      </w:r>
    </w:p>
    <w:bookmarkStart w:id="9" w:name="purpose"/>
    <w:p>
      <w:pPr>
        <w:pStyle w:val="Heading2"/>
      </w:pPr>
      <w:r>
        <w:t xml:space="preserve">0) Purpose</w:t>
      </w:r>
    </w:p>
    <w:p>
      <w:pPr>
        <w:pStyle w:val="FirstParagraph"/>
      </w:pPr>
      <w:r>
        <w:t xml:space="preserve">This addendum introduces minimum additional requirements required for the solution design to fully conform to the original planning workshop objectives, without materially expanding scope beyond what was explicitly requested (transition/legacy handling, rollout/prototyping, and future-facing agentic assistance).</w:t>
      </w:r>
    </w:p>
    <w:bookmarkEnd w:id="9"/>
    <w:bookmarkStart w:id="20" w:name="addendum-functional-requirements-req-a"/>
    <w:p>
      <w:pPr>
        <w:pStyle w:val="Heading2"/>
      </w:pPr>
      <w:r>
        <w:t xml:space="preserve">1) Addendum Functional Requirements (REQ-A)</w:t>
      </w:r>
    </w:p>
    <w:bookmarkStart w:id="11" w:name="X4361abc66990f38c1f272fb92011166d50b7770"/>
    <w:p>
      <w:pPr>
        <w:pStyle w:val="Heading3"/>
      </w:pPr>
      <w:r>
        <w:t xml:space="preserve">REQ-A-0001 — Rollout, Cutover, and Rollback Controls</w:t>
      </w:r>
    </w:p>
    <w:p>
      <w:pPr>
        <w:pStyle w:val="FirstParagraph"/>
      </w:pPr>
      <w:r>
        <w:t xml:space="preserve">The solution MUST define and implement a controlled rollout mechanism that supports:</w:t>
      </w:r>
    </w:p>
    <w:p>
      <w:pPr>
        <w:pStyle w:val="Compact"/>
        <w:numPr>
          <w:ilvl w:val="0"/>
          <w:numId w:val="1001"/>
        </w:numPr>
      </w:pPr>
      <w:r>
        <w:t xml:space="preserve">Enabling the first-party decoration editor per environment, shop/tenant, product style, and/or user cohort.</w:t>
      </w:r>
    </w:p>
    <w:p>
      <w:pPr>
        <w:pStyle w:val="Compact"/>
        <w:numPr>
          <w:ilvl w:val="0"/>
          <w:numId w:val="1001"/>
        </w:numPr>
      </w:pPr>
      <w:r>
        <w:t xml:space="preserve">Routing decisions for new designs vs legacy designs (third-party vs first-party paths) based on a deterministic policy.</w:t>
      </w:r>
    </w:p>
    <w:p>
      <w:pPr>
        <w:pStyle w:val="Compact"/>
        <w:numPr>
          <w:ilvl w:val="0"/>
          <w:numId w:val="1001"/>
        </w:numPr>
      </w:pPr>
      <w:r>
        <w:t xml:space="preserve">A rollback strategy that can revert to legacy behaviour for impacted cohorts without data loss for designs created during the rollout window.</w:t>
      </w:r>
    </w:p>
    <w:bookmarkStart w:id="10" w:name="acceptance-criteria"/>
    <w:p>
      <w:pPr>
        <w:pStyle w:val="Heading4"/>
      </w:pPr>
      <w:r>
        <w:t xml:space="preserve">Acceptance Criteria</w:t>
      </w:r>
    </w:p>
    <w:p>
      <w:pPr>
        <w:pStyle w:val="Compact"/>
        <w:numPr>
          <w:ilvl w:val="0"/>
          <w:numId w:val="1002"/>
        </w:numPr>
      </w:pPr>
      <w:r>
        <w:t xml:space="preserve">AC-REQ-A-0001-01: Feature flags exist for editor routing (legacy vs first-party) with documented evaluation order (env → tenant → style → user).</w:t>
      </w:r>
    </w:p>
    <w:p>
      <w:pPr>
        <w:pStyle w:val="Compact"/>
        <w:numPr>
          <w:ilvl w:val="0"/>
          <w:numId w:val="1002"/>
        </w:numPr>
      </w:pPr>
      <w:r>
        <w:t xml:space="preserve">AC-REQ-A-0001-02: A dual-run window policy is documented with explicit start/stop criteria.</w:t>
      </w:r>
    </w:p>
    <w:p>
      <w:pPr>
        <w:pStyle w:val="Compact"/>
        <w:numPr>
          <w:ilvl w:val="0"/>
          <w:numId w:val="1002"/>
        </w:numPr>
      </w:pPr>
      <w:r>
        <w:t xml:space="preserve">AC-REQ-A-0001-03: Rollback does not strand users: designs created under first-party remain viewable/exportable even if editor routing is reverted.</w:t>
      </w:r>
    </w:p>
    <w:p>
      <w:pPr>
        <w:pStyle w:val="Compact"/>
        <w:numPr>
          <w:ilvl w:val="0"/>
          <w:numId w:val="1002"/>
        </w:numPr>
      </w:pPr>
      <w:r>
        <w:t xml:space="preserve">AC-REQ-A-0001-04: Rollout/rollback actions are auditable (who/when/what flag change).</w:t>
      </w:r>
    </w:p>
    <w:bookmarkEnd w:id="10"/>
    <w:bookmarkEnd w:id="11"/>
    <w:bookmarkStart w:id="13" w:name="X26972b9917d7b9ee3fb52e82ffd2ddcfdb01073"/>
    <w:p>
      <w:pPr>
        <w:pStyle w:val="Heading3"/>
      </w:pPr>
      <w:r>
        <w:t xml:space="preserve">REQ-A-0002 — Legacy Design Orderability Under Third-Party Outage</w:t>
      </w:r>
    </w:p>
    <w:p>
      <w:pPr>
        <w:pStyle w:val="FirstParagraph"/>
      </w:pPr>
      <w:r>
        <w:t xml:space="preserve">The solution MUST define and implement a policy ensuring that legacy designs remain orderable even if the third-party decoration service is unavailable at order time.</w:t>
      </w:r>
    </w:p>
    <w:p>
      <w:pPr>
        <w:pStyle w:val="BodyText"/>
      </w:pPr>
      <w:r>
        <w:t xml:space="preserve">This MUST be satisfied by one (or a combination) of:</w:t>
      </w:r>
    </w:p>
    <w:p>
      <w:pPr>
        <w:pStyle w:val="Compact"/>
        <w:numPr>
          <w:ilvl w:val="0"/>
          <w:numId w:val="1003"/>
        </w:numPr>
      </w:pPr>
      <w:r>
        <w:t xml:space="preserve">Pre-generation and storage of required production exports for legacy designs (scheduled or triggered), or</w:t>
      </w:r>
    </w:p>
    <w:p>
      <w:pPr>
        <w:pStyle w:val="Compact"/>
        <w:numPr>
          <w:ilvl w:val="0"/>
          <w:numId w:val="1003"/>
        </w:numPr>
      </w:pPr>
      <w:r>
        <w:t xml:space="preserve">Migration of legacy decoration data into first-party storage, or</w:t>
      </w:r>
    </w:p>
    <w:p>
      <w:pPr>
        <w:pStyle w:val="Compact"/>
        <w:numPr>
          <w:ilvl w:val="0"/>
          <w:numId w:val="1003"/>
        </w:numPr>
      </w:pPr>
      <w:r>
        <w:t xml:space="preserve">A formally documented business policy that guarantees orderability via alternate retained artifacts or workflows (must be automated where feasible).</w:t>
      </w:r>
    </w:p>
    <w:bookmarkStart w:id="12" w:name="acceptance-criteria-1"/>
    <w:p>
      <w:pPr>
        <w:pStyle w:val="Heading4"/>
      </w:pPr>
      <w:r>
        <w:t xml:space="preserve">Acceptance Criteria</w:t>
      </w:r>
    </w:p>
    <w:p>
      <w:pPr>
        <w:pStyle w:val="Compact"/>
        <w:numPr>
          <w:ilvl w:val="0"/>
          <w:numId w:val="1004"/>
        </w:numPr>
      </w:pPr>
      <w:r>
        <w:t xml:space="preserve">AC-REQ-A-0002-01: For a legacy design that has not been exported previously, ordering can still complete when the third-party is down (testable scenario).</w:t>
      </w:r>
    </w:p>
    <w:p>
      <w:pPr>
        <w:pStyle w:val="Compact"/>
        <w:numPr>
          <w:ilvl w:val="0"/>
          <w:numId w:val="1004"/>
        </w:numPr>
      </w:pPr>
      <w:r>
        <w:t xml:space="preserve">AC-REQ-A-0002-02: The system can demonstrate a measurable coverage strategy (e.g., all legacy designs touched in last N months have cached exports or equivalent).</w:t>
      </w:r>
    </w:p>
    <w:p>
      <w:pPr>
        <w:pStyle w:val="Compact"/>
        <w:numPr>
          <w:ilvl w:val="0"/>
          <w:numId w:val="1004"/>
        </w:numPr>
      </w:pPr>
      <w:r>
        <w:t xml:space="preserve">AC-REQ-A-0002-03: The retention duration for legacy exports/artifacts is explicitly specified (ties to retention policy).</w:t>
      </w:r>
    </w:p>
    <w:p>
      <w:pPr>
        <w:pStyle w:val="Compact"/>
        <w:numPr>
          <w:ilvl w:val="0"/>
          <w:numId w:val="1004"/>
        </w:numPr>
      </w:pPr>
      <w:r>
        <w:t xml:space="preserve">AC-REQ-A-0002-04: A user-facing failure mode is defined if the policy cannot be met (should be rare and bounded).</w:t>
      </w:r>
    </w:p>
    <w:bookmarkEnd w:id="12"/>
    <w:bookmarkEnd w:id="13"/>
    <w:bookmarkStart w:id="15" w:name="X149c1187c7cba45e8fd16224b0e32de20e4833f"/>
    <w:p>
      <w:pPr>
        <w:pStyle w:val="Heading3"/>
      </w:pPr>
      <w:r>
        <w:t xml:space="preserve">REQ-A-0003 — Explicit Legacy Editing Behaviour</w:t>
      </w:r>
    </w:p>
    <w:p>
      <w:pPr>
        <w:pStyle w:val="FirstParagraph"/>
      </w:pPr>
      <w:r>
        <w:t xml:space="preserve">The solution MUST explicitly specify whether legacy designs are:</w:t>
      </w:r>
    </w:p>
    <w:p>
      <w:pPr>
        <w:pStyle w:val="Compact"/>
        <w:numPr>
          <w:ilvl w:val="0"/>
          <w:numId w:val="1005"/>
        </w:numPr>
      </w:pPr>
      <w:r>
        <w:t xml:space="preserve">Editable in the new first-party editor, OR</w:t>
      </w:r>
    </w:p>
    <w:p>
      <w:pPr>
        <w:pStyle w:val="Compact"/>
        <w:numPr>
          <w:ilvl w:val="0"/>
          <w:numId w:val="1005"/>
        </w:numPr>
      </w:pPr>
      <w:r>
        <w:t xml:space="preserve">Editable only via the legacy tool path, OR</w:t>
      </w:r>
    </w:p>
    <w:p>
      <w:pPr>
        <w:pStyle w:val="Compact"/>
        <w:numPr>
          <w:ilvl w:val="0"/>
          <w:numId w:val="1005"/>
        </w:numPr>
      </w:pPr>
      <w:r>
        <w:t xml:space="preserve">Non-editable (order-only), with a defined clone to new workflow.</w:t>
      </w:r>
    </w:p>
    <w:bookmarkStart w:id="14" w:name="acceptance-criteria-2"/>
    <w:p>
      <w:pPr>
        <w:pStyle w:val="Heading4"/>
      </w:pPr>
      <w:r>
        <w:t xml:space="preserve">Acceptance Criteria</w:t>
      </w:r>
    </w:p>
    <w:p>
      <w:pPr>
        <w:pStyle w:val="Compact"/>
        <w:numPr>
          <w:ilvl w:val="0"/>
          <w:numId w:val="1006"/>
        </w:numPr>
      </w:pPr>
      <w:r>
        <w:t xml:space="preserve">AC-REQ-A-0003-01: The UI routing rules for legacy designs are documented and deterministic.</w:t>
      </w:r>
    </w:p>
    <w:p>
      <w:pPr>
        <w:pStyle w:val="Compact"/>
        <w:numPr>
          <w:ilvl w:val="0"/>
          <w:numId w:val="1006"/>
        </w:numPr>
      </w:pPr>
      <w:r>
        <w:t xml:space="preserve">AC-REQ-A-0003-02: If clone to new is supported, the resulting new design is first-party owned and preserves necessary visual fidelity.</w:t>
      </w:r>
    </w:p>
    <w:p>
      <w:pPr>
        <w:pStyle w:val="Compact"/>
        <w:numPr>
          <w:ilvl w:val="0"/>
          <w:numId w:val="1006"/>
        </w:numPr>
      </w:pPr>
      <w:r>
        <w:t xml:space="preserve">AC-REQ-A-0003-03: The chosen policy is reflected in API contracts and persisted metadata (e.g., decoration_provider = legacy|owned).</w:t>
      </w:r>
    </w:p>
    <w:bookmarkEnd w:id="14"/>
    <w:bookmarkEnd w:id="15"/>
    <w:bookmarkStart w:id="17" w:name="X271a03bff95f7c18116cf922f03b10ad8ebde31"/>
    <w:p>
      <w:pPr>
        <w:pStyle w:val="Heading3"/>
      </w:pPr>
      <w:r>
        <w:t xml:space="preserve">REQ-A-0004 — Prototyping Plan for Decoration Tool Complexity</w:t>
      </w:r>
    </w:p>
    <w:p>
      <w:pPr>
        <w:pStyle w:val="FirstParagraph"/>
      </w:pPr>
      <w:r>
        <w:t xml:space="preserve">The solution MUST include a prototyping plan to validate the complexity and feasibility of first-party decoration tooling and export generation, including:</w:t>
      </w:r>
    </w:p>
    <w:p>
      <w:pPr>
        <w:pStyle w:val="Compact"/>
        <w:numPr>
          <w:ilvl w:val="0"/>
          <w:numId w:val="1007"/>
        </w:numPr>
      </w:pPr>
      <w:r>
        <w:t xml:space="preserve">A minimal interactive editor prototype (text + graphic placement) within decoration spaces</w:t>
      </w:r>
    </w:p>
    <w:p>
      <w:pPr>
        <w:pStyle w:val="Compact"/>
        <w:numPr>
          <w:ilvl w:val="0"/>
          <w:numId w:val="1007"/>
        </w:numPr>
      </w:pPr>
      <w:r>
        <w:t xml:space="preserve">A prototype of production export generation for at least one space and one process type (e.g., embroidery)</w:t>
      </w:r>
    </w:p>
    <w:p>
      <w:pPr>
        <w:pStyle w:val="Compact"/>
        <w:numPr>
          <w:ilvl w:val="0"/>
          <w:numId w:val="1007"/>
        </w:numPr>
      </w:pPr>
      <w:r>
        <w:t xml:space="preserve">A clear evaluation checklist and exit criteria to proceed to build</w:t>
      </w:r>
    </w:p>
    <w:bookmarkStart w:id="16" w:name="acceptance-criteria-3"/>
    <w:p>
      <w:pPr>
        <w:pStyle w:val="Heading4"/>
      </w:pPr>
      <w:r>
        <w:t xml:space="preserve">Acceptance Criteria</w:t>
      </w:r>
    </w:p>
    <w:p>
      <w:pPr>
        <w:pStyle w:val="Compact"/>
        <w:numPr>
          <w:ilvl w:val="0"/>
          <w:numId w:val="1008"/>
        </w:numPr>
      </w:pPr>
      <w:r>
        <w:t xml:space="preserve">AC-REQ-A-0004-01: Prototype scope, timeline, and success criteria are documented.</w:t>
      </w:r>
    </w:p>
    <w:p>
      <w:pPr>
        <w:pStyle w:val="Compact"/>
        <w:numPr>
          <w:ilvl w:val="0"/>
          <w:numId w:val="1008"/>
        </w:numPr>
      </w:pPr>
      <w:r>
        <w:t xml:space="preserve">AC-REQ-A-0004-02: Prototype validates at least one complete path: place elements → persist → render preview → generate export artifact.</w:t>
      </w:r>
    </w:p>
    <w:p>
      <w:pPr>
        <w:pStyle w:val="Compact"/>
        <w:numPr>
          <w:ilvl w:val="0"/>
          <w:numId w:val="1008"/>
        </w:numPr>
      </w:pPr>
      <w:r>
        <w:t xml:space="preserve">AC-REQ-A-0004-03: Identified unknowns/risks are captured with mitigation actions.</w:t>
      </w:r>
    </w:p>
    <w:bookmarkEnd w:id="16"/>
    <w:bookmarkEnd w:id="17"/>
    <w:bookmarkStart w:id="19" w:name="X850611024c8f0a8ab673ebeffe502ae12a5d841"/>
    <w:p>
      <w:pPr>
        <w:pStyle w:val="Heading3"/>
      </w:pPr>
      <w:r>
        <w:t xml:space="preserve">REQ-A-0005 — Agentic Assistance (Non-Blocking Roadmap Commitment)</w:t>
      </w:r>
    </w:p>
    <w:p>
      <w:pPr>
        <w:pStyle w:val="FirstParagraph"/>
      </w:pPr>
      <w:r>
        <w:t xml:space="preserve">The solution MUST include an explicit appendix that enumerates potential agentic/AI-assisted enhancements to streamline design, without blocking MVP delivery. Minimum includes:</w:t>
      </w:r>
    </w:p>
    <w:p>
      <w:pPr>
        <w:pStyle w:val="Compact"/>
        <w:numPr>
          <w:ilvl w:val="0"/>
          <w:numId w:val="1009"/>
        </w:numPr>
      </w:pPr>
      <w:r>
        <w:t xml:space="preserve">Colour/palette guidance based on early selections</w:t>
      </w:r>
    </w:p>
    <w:p>
      <w:pPr>
        <w:pStyle w:val="Compact"/>
        <w:numPr>
          <w:ilvl w:val="0"/>
          <w:numId w:val="1009"/>
        </w:numPr>
      </w:pPr>
      <w:r>
        <w:t xml:space="preserve">Reusable templates (e.g., school year or repeat ordering patterns)</w:t>
      </w:r>
    </w:p>
    <w:p>
      <w:pPr>
        <w:pStyle w:val="Compact"/>
        <w:numPr>
          <w:ilvl w:val="0"/>
          <w:numId w:val="1009"/>
        </w:numPr>
      </w:pPr>
      <w:r>
        <w:t xml:space="preserve">Assisted composition for decoration layouts within constraints</w:t>
      </w:r>
    </w:p>
    <w:bookmarkStart w:id="18" w:name="acceptance-criteria-4"/>
    <w:p>
      <w:pPr>
        <w:pStyle w:val="Heading4"/>
      </w:pPr>
      <w:r>
        <w:t xml:space="preserve">Acceptance Criteria</w:t>
      </w:r>
    </w:p>
    <w:p>
      <w:pPr>
        <w:pStyle w:val="Compact"/>
        <w:numPr>
          <w:ilvl w:val="0"/>
          <w:numId w:val="1010"/>
        </w:numPr>
      </w:pPr>
      <w:r>
        <w:t xml:space="preserve">AC-REQ-A-0005-01: Clearly marked non-MVP with a staged roadmap (Phase 2+).</w:t>
      </w:r>
    </w:p>
    <w:p>
      <w:pPr>
        <w:pStyle w:val="Compact"/>
        <w:numPr>
          <w:ilvl w:val="0"/>
          <w:numId w:val="1010"/>
        </w:numPr>
      </w:pPr>
      <w:r>
        <w:t xml:space="preserve">AC-REQ-A-0005-02: Each idea includes: entry point in UX, required inputs, and constraints/safety considerations.</w:t>
      </w:r>
    </w:p>
    <w:p>
      <w:pPr>
        <w:pStyle w:val="Compact"/>
        <w:numPr>
          <w:ilvl w:val="0"/>
          <w:numId w:val="1010"/>
        </w:numPr>
      </w:pPr>
      <w:r>
        <w:t xml:space="preserve">AC-REQ-A-0005-03: Architecture impact is documented (where signals/logs/models plug in, without committing to implementation now).</w:t>
      </w:r>
    </w:p>
    <w:bookmarkEnd w:id="18"/>
    <w:bookmarkEnd w:id="19"/>
    <w:bookmarkEnd w:id="20"/>
    <w:bookmarkStart w:id="23" w:name="Xb29e665edbc98fe58d88fd3322bf9ae919c6621"/>
    <w:p>
      <w:pPr>
        <w:pStyle w:val="Heading2"/>
      </w:pPr>
      <w:r>
        <w:t xml:space="preserve">2) Addendum Non-Functional Requirements (NFR-A)</w:t>
      </w:r>
    </w:p>
    <w:bookmarkStart w:id="22" w:name="Xdc17983927de2eb6f4736fadecef57707013a38"/>
    <w:p>
      <w:pPr>
        <w:pStyle w:val="Heading3"/>
      </w:pPr>
      <w:r>
        <w:t xml:space="preserve">NFR-A-0001 — Operational Observability for Rollout and Legacy Policy</w:t>
      </w:r>
    </w:p>
    <w:p>
      <w:pPr>
        <w:pStyle w:val="FirstParagraph"/>
      </w:pPr>
      <w:r>
        <w:t xml:space="preserve">The solution MUST provide monitoring/metrics sufficient to validate rollout safety and legacy orderability:</w:t>
      </w:r>
    </w:p>
    <w:p>
      <w:pPr>
        <w:pStyle w:val="Compact"/>
        <w:numPr>
          <w:ilvl w:val="0"/>
          <w:numId w:val="1011"/>
        </w:numPr>
      </w:pPr>
      <w:r>
        <w:t xml:space="preserve">Adoption split (legacy vs owned)</w:t>
      </w:r>
    </w:p>
    <w:p>
      <w:pPr>
        <w:pStyle w:val="Compact"/>
        <w:numPr>
          <w:ilvl w:val="0"/>
          <w:numId w:val="1011"/>
        </w:numPr>
      </w:pPr>
      <w:r>
        <w:t xml:space="preserve">Export success/failure rates (legacy and owned)</w:t>
      </w:r>
    </w:p>
    <w:p>
      <w:pPr>
        <w:pStyle w:val="Compact"/>
        <w:numPr>
          <w:ilvl w:val="0"/>
          <w:numId w:val="1011"/>
        </w:numPr>
      </w:pPr>
      <w:r>
        <w:t xml:space="preserve">Queue backlogs / job latencies for preview/export</w:t>
      </w:r>
    </w:p>
    <w:p>
      <w:pPr>
        <w:pStyle w:val="Compact"/>
        <w:numPr>
          <w:ilvl w:val="0"/>
          <w:numId w:val="1011"/>
        </w:numPr>
      </w:pPr>
      <w:r>
        <w:t xml:space="preserve">% of legacy designs with cached exports (or migrated)</w:t>
      </w:r>
    </w:p>
    <w:bookmarkStart w:id="21" w:name="acceptance-criteria-5"/>
    <w:p>
      <w:pPr>
        <w:pStyle w:val="Heading4"/>
      </w:pPr>
      <w:r>
        <w:t xml:space="preserve">Acceptance Criteria</w:t>
      </w:r>
    </w:p>
    <w:p>
      <w:pPr>
        <w:pStyle w:val="Compact"/>
        <w:numPr>
          <w:ilvl w:val="0"/>
          <w:numId w:val="1012"/>
        </w:numPr>
      </w:pPr>
      <w:r>
        <w:t xml:space="preserve">AC-NFR-A-0001-01: Dashboards/metrics are defined with alert thresholds.</w:t>
      </w:r>
    </w:p>
    <w:p>
      <w:pPr>
        <w:pStyle w:val="Compact"/>
        <w:numPr>
          <w:ilvl w:val="0"/>
          <w:numId w:val="1012"/>
        </w:numPr>
      </w:pPr>
      <w:r>
        <w:t xml:space="preserve">AC-NFR-A-0001-02: A weekly reportable KPI set is specified (sufficient for go/no-go decisions).</w:t>
      </w:r>
    </w:p>
    <w:bookmarkEnd w:id="21"/>
    <w:bookmarkEnd w:id="22"/>
    <w:bookmarkEnd w:id="23"/>
    <w:bookmarkStart w:id="25" w:name="addendum-constraints-con-a"/>
    <w:p>
      <w:pPr>
        <w:pStyle w:val="Heading2"/>
      </w:pPr>
      <w:r>
        <w:t xml:space="preserve">3) Addendum Constraints (CON-A)</w:t>
      </w:r>
    </w:p>
    <w:bookmarkStart w:id="24" w:name="con-a-0001-aws-alignment"/>
    <w:p>
      <w:pPr>
        <w:pStyle w:val="Heading3"/>
      </w:pPr>
      <w:r>
        <w:t xml:space="preserve">CON-A-0001 — AWS Alignment</w:t>
      </w:r>
    </w:p>
    <w:p>
      <w:pPr>
        <w:pStyle w:val="FirstParagraph"/>
      </w:pPr>
      <w:r>
        <w:t xml:space="preserve">All rollout, storage, compute, queueing, and observability approaches MUST be expressed using AWS primitives (or cloud-agnostic abstractions deployable on AWS).</w:t>
      </w:r>
    </w:p>
    <w:bookmarkEnd w:id="24"/>
    <w:bookmarkEnd w:id="25"/>
    <w:bookmarkStart w:id="26" w:name="X899904227de298b2b4560e63f2d281f0923f39c"/>
    <w:p>
      <w:pPr>
        <w:pStyle w:val="Heading2"/>
      </w:pPr>
      <w:r>
        <w:t xml:space="preserve">4) Addendum Open Questions (OQ-A) — Must be answered to exit design</w:t>
      </w:r>
    </w:p>
    <w:p>
      <w:pPr>
        <w:pStyle w:val="Compact"/>
        <w:numPr>
          <w:ilvl w:val="0"/>
          <w:numId w:val="1013"/>
        </w:numPr>
      </w:pPr>
      <w:r>
        <w:t xml:space="preserve">OQ-A-0001: Which legacy orderability approach is chosen (pre-generate exports vs migrate vs alternate policy)?</w:t>
      </w:r>
    </w:p>
    <w:p>
      <w:pPr>
        <w:pStyle w:val="Compact"/>
        <w:numPr>
          <w:ilvl w:val="0"/>
          <w:numId w:val="1013"/>
        </w:numPr>
      </w:pPr>
      <w:r>
        <w:t xml:space="preserve">OQ-A-0002: What is the explicit legacy edit policy (edit/legacy-only/clone-to-new)?</w:t>
      </w:r>
    </w:p>
    <w:p>
      <w:pPr>
        <w:pStyle w:val="Compact"/>
        <w:numPr>
          <w:ilvl w:val="0"/>
          <w:numId w:val="1013"/>
        </w:numPr>
      </w:pPr>
      <w:r>
        <w:t xml:space="preserve">OQ-A-0003: What are the prototype exit criteria and who signs them off?</w:t>
      </w:r>
    </w:p>
    <w:p>
      <w:pPr>
        <w:pStyle w:val="Compact"/>
        <w:numPr>
          <w:ilvl w:val="0"/>
          <w:numId w:val="1013"/>
        </w:numPr>
      </w:pPr>
      <w:r>
        <w:t xml:space="preserve">OQ-A-0004: What retention window is mandated (minimum &gt;= 12 months implied; confirm exact)?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2026-02-18T22:26:51Z</dcterms:created>
  <dcterms:modified xsi:type="dcterms:W3CDTF">2026-02-18T22:26:51Z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