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Planning Memo</w:t>
      </w:r>
    </w:p>
    <w:p>
      <w:r>
        <w:t>The zeppelin logistics budget was approved on Tuesday.</w:t>
      </w:r>
    </w:p>
    <w:p>
      <w:r>
        <w:t xml:space="preserve">Bold and </w:t>
      </w:r>
      <w:r>
        <w:rPr>
          <w:i/>
        </w:rPr>
        <w:t>italic runs</w:t>
      </w:r>
      <w:r>
        <w:t xml:space="preserve"> stay in one paragraph.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Total</w:t>
            </w:r>
          </w:p>
        </w:tc>
      </w:tr>
      <w:tr>
        <w:tc>
          <w:tcPr>
            <w:tcW w:type="dxa" w:w="4320"/>
          </w:tcPr>
          <w:p>
            <w:r>
              <w:t>Acme Airships</w:t>
            </w:r>
          </w:p>
        </w:tc>
        <w:tc>
          <w:tcPr>
            <w:tcW w:type="dxa" w:w="4320"/>
          </w:tcPr>
          <w:p>
            <w:r>
              <w:t>4,200</w:t>
            </w:r>
          </w:p>
        </w:tc>
      </w:tr>
    </w:tbl>
    <w:p>
      <w:r>
        <w:t>Café résumé naïve — unicode check: 日本語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