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ind w:firstLine="0"/>
        <w:jc w:val="center"/>
      </w:pPr>
      <w:r>
        <w:rPr>
          <w:rFonts w:ascii="Arial" w:hAnsi="Arial" w:eastAsia="Arial"/>
          <w:b/>
          <w:i w:val="0"/>
          <w:sz w:val="32"/>
        </w:rPr>
        <w:t>Star Power or Pack Depth? Predicting DCSAA Boys Cross-Country Team Place from Last Year’s Results</w:t>
      </w:r>
    </w:p>
    <w:p>
      <w:pPr>
        <w:spacing w:after="0" w:before="0" w:line="240" w:lineRule="auto"/>
        <w:ind w:firstLine="0"/>
        <w:jc w:val="center"/>
      </w:pPr>
      <w:r>
        <w:rPr>
          <w:rFonts w:ascii="Arial" w:hAnsi="Arial" w:eastAsia="Arial"/>
          <w:b w:val="0"/>
          <w:i w:val="0"/>
          <w:sz w:val="20"/>
        </w:rPr>
        <w:t>[Author Name] (student)</w:t>
      </w:r>
    </w:p>
    <w:p>
      <w:pPr>
        <w:spacing w:after="0" w:before="0" w:line="240" w:lineRule="auto"/>
        <w:ind w:firstLine="0"/>
        <w:jc w:val="center"/>
      </w:pPr>
      <w:r>
        <w:rPr>
          <w:rFonts w:ascii="Arial" w:hAnsi="Arial" w:eastAsia="Arial"/>
          <w:b w:val="0"/>
          <w:i w:val="0"/>
          <w:sz w:val="20"/>
        </w:rPr>
        <w:t>[High School], [Street Address], [City], [State ZIP], USA</w:t>
      </w:r>
    </w:p>
    <w:p>
      <w:pPr>
        <w:spacing w:after="320" w:before="0" w:line="240" w:lineRule="auto"/>
        <w:ind w:firstLine="0"/>
        <w:jc w:val="center"/>
      </w:pPr>
      <w:r>
        <w:rPr>
          <w:rFonts w:ascii="Arial" w:hAnsi="Arial" w:eastAsia="Arial"/>
          <w:b w:val="0"/>
          <w:i w:val="0"/>
          <w:sz w:val="20"/>
        </w:rPr>
        <w:t>* Corresponding author email: [personal@email.com]</w:t>
      </w:r>
    </w:p>
    <w:p>
      <w:pPr>
        <w:spacing w:after="160" w:before="160" w:line="240" w:lineRule="auto"/>
        <w:ind w:firstLine="0"/>
      </w:pPr>
      <w:r>
        <w:rPr>
          <w:rFonts w:ascii="Arial" w:hAnsi="Arial" w:eastAsia="Arial"/>
          <w:b/>
          <w:i w:val="0"/>
          <w:sz w:val="28"/>
        </w:rPr>
        <w:t>Abstract</w:t>
      </w:r>
    </w:p>
    <w:p>
      <w:pPr>
        <w:spacing w:after="160" w:before="0" w:line="240" w:lineRule="auto"/>
        <w:ind w:firstLine="0"/>
      </w:pPr>
      <w:r>
        <w:rPr>
          <w:rFonts w:ascii="Arial" w:hAnsi="Arial" w:eastAsia="Arial"/>
          <w:b w:val="0"/>
          <w:i w:val="0"/>
          <w:sz w:val="20"/>
        </w:rPr>
        <w:t>In high school cross country, a team’s score is the sum of its first five finishing places. This study asked whether last year’s fifth runner predicts next year’s team place better than last year’s first runner at the District of Columbia State Athletic Association (DCSAA) boys varsity championship. Public Kenilworth Park results were used. Each runner’s time was compared with the rest of that year’s field. Models also accounted for school size and whether the school was private, public, or charter. The 2025 championship was left out of model fitting and used as a check. Last year’s fifth runner was the stronger predictor in the years used to fit the models. In 2025 it ranked the teams in close to the official order, but the size of the place errors was not better than using school size and type alone. These findings are for one district and should not be read as proof that pack depth causes a better team place.</w:t>
      </w:r>
    </w:p>
    <w:p>
      <w:pPr>
        <w:spacing w:after="160" w:before="160" w:line="240" w:lineRule="auto"/>
        <w:ind w:firstLine="0"/>
      </w:pPr>
      <w:r>
        <w:rPr>
          <w:rFonts w:ascii="Arial" w:hAnsi="Arial" w:eastAsia="Arial"/>
          <w:b/>
          <w:i w:val="0"/>
          <w:sz w:val="28"/>
        </w:rPr>
        <w:t>Keywords</w:t>
      </w:r>
    </w:p>
    <w:p>
      <w:pPr>
        <w:spacing w:after="0" w:before="0" w:line="240" w:lineRule="auto"/>
        <w:ind w:firstLine="0"/>
      </w:pPr>
      <w:r>
        <w:rPr>
          <w:rFonts w:ascii="Arial" w:hAnsi="Arial" w:eastAsia="Arial"/>
          <w:b w:val="0"/>
          <w:i w:val="0"/>
          <w:sz w:val="20"/>
        </w:rPr>
        <w:t>Computer Science and Software Engineering</w:t>
      </w:r>
    </w:p>
    <w:p>
      <w:pPr>
        <w:spacing w:after="0" w:before="0" w:line="240" w:lineRule="auto"/>
        <w:ind w:firstLine="0"/>
      </w:pPr>
      <w:r>
        <w:rPr>
          <w:rFonts w:ascii="Arial" w:hAnsi="Arial" w:eastAsia="Arial"/>
          <w:b w:val="0"/>
          <w:i w:val="0"/>
          <w:sz w:val="20"/>
        </w:rPr>
        <w:t>Data Science</w:t>
      </w:r>
    </w:p>
    <w:p>
      <w:pPr>
        <w:spacing w:after="0" w:before="0" w:line="240" w:lineRule="auto"/>
        <w:ind w:firstLine="0"/>
      </w:pPr>
      <w:r>
        <w:rPr>
          <w:rFonts w:ascii="Arial" w:hAnsi="Arial" w:eastAsia="Arial"/>
          <w:b w:val="0"/>
          <w:i w:val="0"/>
          <w:sz w:val="20"/>
        </w:rPr>
        <w:t>Sports analytics</w:t>
      </w:r>
    </w:p>
    <w:p>
      <w:pPr>
        <w:spacing w:after="0" w:before="0" w:line="240" w:lineRule="auto"/>
        <w:ind w:firstLine="0"/>
      </w:pPr>
      <w:r>
        <w:rPr>
          <w:rFonts w:ascii="Arial" w:hAnsi="Arial" w:eastAsia="Arial"/>
          <w:b w:val="0"/>
          <w:i w:val="0"/>
          <w:sz w:val="20"/>
        </w:rPr>
        <w:t>Cross-country running</w:t>
      </w:r>
    </w:p>
    <w:p>
      <w:pPr>
        <w:spacing w:after="0" w:before="0" w:line="240" w:lineRule="auto"/>
        <w:ind w:firstLine="0"/>
      </w:pPr>
      <w:r>
        <w:rPr>
          <w:rFonts w:ascii="Arial" w:hAnsi="Arial" w:eastAsia="Arial"/>
          <w:b w:val="0"/>
          <w:i w:val="0"/>
          <w:sz w:val="20"/>
        </w:rPr>
        <w:t>Predictive modeling</w:t>
      </w:r>
    </w:p>
    <w:p>
      <w:pPr>
        <w:spacing w:after="160" w:before="0" w:line="240" w:lineRule="auto"/>
        <w:ind w:firstLine="0"/>
      </w:pPr>
    </w:p>
    <w:p>
      <w:pPr>
        <w:spacing w:after="160" w:before="160" w:line="240" w:lineRule="auto"/>
        <w:ind w:firstLine="0"/>
      </w:pPr>
      <w:r>
        <w:rPr>
          <w:rFonts w:ascii="Arial" w:hAnsi="Arial" w:eastAsia="Arial"/>
          <w:b/>
          <w:i w:val="0"/>
          <w:sz w:val="28"/>
        </w:rPr>
        <w:t>Introduction</w:t>
      </w:r>
    </w:p>
    <w:p>
      <w:pPr>
        <w:spacing w:after="160" w:before="0" w:line="240" w:lineRule="auto"/>
        <w:ind w:firstLine="0"/>
      </w:pPr>
      <w:r>
        <w:rPr>
          <w:rFonts w:ascii="Arial" w:hAnsi="Arial" w:eastAsia="Arial"/>
          <w:b w:val="0"/>
          <w:i w:val="0"/>
          <w:sz w:val="20"/>
        </w:rPr>
        <w:t>In high school cross country, a team’s score is the sum of the first five finishers’ places.</w:t>
      </w:r>
      <w:r>
        <w:rPr>
          <w:rFonts w:ascii="Arial" w:hAnsi="Arial" w:eastAsia="Arial"/>
          <w:b w:val="0"/>
          <w:i w:val="0"/>
          <w:sz w:val="20"/>
          <w:vertAlign w:val="superscript"/>
        </w:rPr>
        <w:t>1</w:t>
      </w:r>
      <w:r>
        <w:rPr>
          <w:rFonts w:ascii="Arial" w:hAnsi="Arial" w:eastAsia="Arial"/>
          <w:b w:val="0"/>
          <w:i w:val="0"/>
          <w:sz w:val="20"/>
        </w:rPr>
        <w:t xml:space="preserve"> A school can have the fastest runner in the race and still lose if its fifth scorer is far behind. Coaches often describe this as star power versus pack depth. There is not much published work that tests which one actually predicts next year’s championship.</w:t>
      </w:r>
    </w:p>
    <w:p>
      <w:pPr>
        <w:spacing w:after="160" w:before="0" w:line="240" w:lineRule="auto"/>
        <w:ind w:firstLine="0"/>
      </w:pPr>
      <w:r>
        <w:rPr>
          <w:rFonts w:ascii="Arial" w:hAnsi="Arial" w:eastAsia="Arial"/>
          <w:b w:val="0"/>
          <w:i w:val="0"/>
          <w:sz w:val="20"/>
        </w:rPr>
        <w:t>Using the same race to predict the same team’s place would not be a fair test. The fifth runner’s place is already part of that day’s score. A more useful test uses last year’s championship to predict this year’s place, because those results are already known before the next race.</w:t>
      </w:r>
    </w:p>
    <w:p>
      <w:pPr>
        <w:spacing w:after="160" w:before="0" w:line="240" w:lineRule="auto"/>
        <w:ind w:firstLine="0"/>
      </w:pPr>
      <w:r>
        <w:rPr>
          <w:rFonts w:ascii="Arial" w:hAnsi="Arial" w:eastAsia="Arial"/>
          <w:b w:val="0"/>
          <w:i w:val="0"/>
          <w:sz w:val="20"/>
        </w:rPr>
        <w:t>Sports rating papers have used least squares to adjust for opponent strength.</w:t>
      </w:r>
      <w:r>
        <w:rPr>
          <w:rFonts w:ascii="Arial" w:hAnsi="Arial" w:eastAsia="Arial"/>
          <w:b w:val="0"/>
          <w:i w:val="0"/>
          <w:sz w:val="20"/>
          <w:vertAlign w:val="superscript"/>
        </w:rPr>
        <w:t>2, 3</w:t>
      </w:r>
      <w:r>
        <w:rPr>
          <w:rFonts w:ascii="Arial" w:hAnsi="Arial" w:eastAsia="Arial"/>
          <w:b w:val="0"/>
          <w:i w:val="0"/>
          <w:sz w:val="20"/>
        </w:rPr>
        <w:t xml:space="preserve"> Other work has used schedule measures in college basketball and simulation for high school football playoffs.</w:t>
      </w:r>
      <w:r>
        <w:rPr>
          <w:rFonts w:ascii="Arial" w:hAnsi="Arial" w:eastAsia="Arial"/>
          <w:b w:val="0"/>
          <w:i w:val="0"/>
          <w:sz w:val="20"/>
          <w:vertAlign w:val="superscript"/>
        </w:rPr>
        <w:t>4, 5</w:t>
      </w:r>
      <w:r>
        <w:rPr>
          <w:rFonts w:ascii="Arial" w:hAnsi="Arial" w:eastAsia="Arial"/>
          <w:b w:val="0"/>
          <w:i w:val="0"/>
          <w:sz w:val="20"/>
        </w:rPr>
        <w:t xml:space="preserve"> Public and private schools also differ in many high school sports.</w:t>
      </w:r>
      <w:r>
        <w:rPr>
          <w:rFonts w:ascii="Arial" w:hAnsi="Arial" w:eastAsia="Arial"/>
          <w:b w:val="0"/>
          <w:i w:val="0"/>
          <w:sz w:val="20"/>
          <w:vertAlign w:val="superscript"/>
        </w:rPr>
        <w:t>6</w:t>
      </w:r>
      <w:r>
        <w:rPr>
          <w:rFonts w:ascii="Arial" w:hAnsi="Arial" w:eastAsia="Arial"/>
          <w:b w:val="0"/>
          <w:i w:val="0"/>
          <w:sz w:val="20"/>
        </w:rPr>
        <w:t xml:space="preserve"> Those studies are about rankings, seeding, or competitive balance. They do not compare last year’s first runner and last year’s fifth runner as predictors of a high school cross country championship.</w:t>
      </w:r>
    </w:p>
    <w:p>
      <w:pPr>
        <w:spacing w:after="160" w:before="0" w:line="240" w:lineRule="auto"/>
        <w:ind w:firstLine="0"/>
      </w:pPr>
      <w:r>
        <w:rPr>
          <w:rFonts w:ascii="Arial" w:hAnsi="Arial" w:eastAsia="Arial"/>
          <w:b w:val="0"/>
          <w:i w:val="0"/>
          <w:sz w:val="20"/>
        </w:rPr>
        <w:t>DCSAA holds one boys varsity championship instead of separate class races.</w:t>
      </w:r>
      <w:r>
        <w:rPr>
          <w:rFonts w:ascii="Arial" w:hAnsi="Arial" w:eastAsia="Arial"/>
          <w:b w:val="0"/>
          <w:i w:val="0"/>
          <w:sz w:val="20"/>
          <w:vertAlign w:val="superscript"/>
        </w:rPr>
        <w:t>7</w:t>
      </w:r>
      <w:r>
        <w:rPr>
          <w:rFonts w:ascii="Arial" w:hAnsi="Arial" w:eastAsia="Arial"/>
          <w:b w:val="0"/>
          <w:i w:val="0"/>
          <w:sz w:val="20"/>
        </w:rPr>
        <w:t xml:space="preserve"> The Kenilworth Park course has been 5 km. Teams usually enter up to seven runners and need five finishers to score.</w:t>
      </w:r>
      <w:r>
        <w:rPr>
          <w:rFonts w:ascii="Arial" w:hAnsi="Arial" w:eastAsia="Arial"/>
          <w:b w:val="0"/>
          <w:i w:val="0"/>
          <w:sz w:val="20"/>
          <w:vertAlign w:val="superscript"/>
        </w:rPr>
        <w:t>7</w:t>
      </w:r>
      <w:r>
        <w:rPr>
          <w:rFonts w:ascii="Arial" w:hAnsi="Arial" w:eastAsia="Arial"/>
          <w:b w:val="0"/>
          <w:i w:val="0"/>
          <w:sz w:val="20"/>
        </w:rPr>
        <w:t xml:space="preserve"> Because the course is the same each year, times can be turned into z-scores within that meet. The goal of this research is to test whether last year’s fifth-runner z-score predicts next year’s DCSAA boys team place better than last year’s first-runner z-score after enrollment and sector. Washington Catholic Athletic Conference (WCAC) membership is included as an extra check for schedule strength. This paper does not claim that changing fifth-runner times would cause a change in team place.</w:t>
      </w:r>
    </w:p>
    <w:p>
      <w:pPr>
        <w:spacing w:after="160" w:before="160" w:line="240" w:lineRule="auto"/>
        <w:ind w:firstLine="0"/>
      </w:pPr>
      <w:r>
        <w:rPr>
          <w:rFonts w:ascii="Arial" w:hAnsi="Arial" w:eastAsia="Arial"/>
          <w:b/>
          <w:i w:val="0"/>
          <w:sz w:val="28"/>
        </w:rPr>
        <w:t>Methods</w:t>
      </w:r>
    </w:p>
    <w:p>
      <w:pPr>
        <w:spacing w:after="160" w:before="120" w:line="240" w:lineRule="auto"/>
        <w:ind w:firstLine="0"/>
      </w:pPr>
      <w:r>
        <w:rPr>
          <w:rFonts w:ascii="Arial" w:hAnsi="Arial" w:eastAsia="Arial"/>
          <w:b/>
          <w:i/>
          <w:sz w:val="24"/>
        </w:rPr>
        <w:t>Design and Outcomes</w:t>
      </w:r>
    </w:p>
    <w:p>
      <w:pPr>
        <w:spacing w:after="160" w:before="0" w:line="240" w:lineRule="auto"/>
        <w:ind w:firstLine="0"/>
      </w:pPr>
      <w:r>
        <w:rPr>
          <w:rFonts w:ascii="Arial" w:hAnsi="Arial" w:eastAsia="Arial"/>
          <w:b w:val="0"/>
          <w:i w:val="0"/>
          <w:sz w:val="20"/>
        </w:rPr>
        <w:t>Each row is one school in one season. The main outcome is team place at the DCSAA boys championship. Team score (the sum of the first five places) is also modeled because that is how the meet is scored. Place is a ranking, so ordinary least squares is only an approximation. Standard errors are clustered by school.</w:t>
      </w:r>
      <w:r>
        <w:rPr>
          <w:rFonts w:ascii="Arial" w:hAnsi="Arial" w:eastAsia="Arial"/>
          <w:b w:val="0"/>
          <w:i w:val="0"/>
          <w:sz w:val="20"/>
          <w:vertAlign w:val="superscript"/>
        </w:rPr>
        <w:t>8</w:t>
      </w:r>
      <w:r>
        <w:rPr>
          <w:rFonts w:ascii="Arial" w:hAnsi="Arial" w:eastAsia="Arial"/>
          <w:b w:val="0"/>
          <w:i w:val="0"/>
          <w:sz w:val="20"/>
        </w:rPr>
        <w:t xml:space="preserve"> A wild cluster bootstrap with 399 draws is used for the fifth-runner coefficient. Predictors come only from the previous Kenilworth championship that could be parsed. There was no 2020 race, so 2021 is linked to 2019. After the 2023 file was recovered, 2024 is linked to 2023. The 2025 season was not used to pick the models.</w:t>
      </w:r>
    </w:p>
    <w:p>
      <w:pPr>
        <w:spacing w:after="160" w:before="120" w:line="240" w:lineRule="auto"/>
        <w:ind w:firstLine="0"/>
      </w:pPr>
      <w:r>
        <w:rPr>
          <w:rFonts w:ascii="Arial" w:hAnsi="Arial" w:eastAsia="Arial"/>
          <w:b/>
          <w:i/>
          <w:sz w:val="24"/>
        </w:rPr>
        <w:t>Data Sources</w:t>
      </w:r>
    </w:p>
    <w:p>
      <w:pPr>
        <w:spacing w:after="160" w:before="0" w:line="240" w:lineRule="auto"/>
        <w:ind w:firstLine="0"/>
      </w:pPr>
      <w:r>
        <w:rPr>
          <w:rFonts w:ascii="Arial" w:hAnsi="Arial" w:eastAsia="Arial"/>
          <w:b w:val="0"/>
          <w:i w:val="0"/>
          <w:sz w:val="20"/>
        </w:rPr>
        <w:t>Meet pages came from the public MileSplit championship index and, for 2025, M&amp;D Timing (Table 1).</w:t>
      </w:r>
      <w:r>
        <w:rPr>
          <w:rFonts w:ascii="Arial" w:hAnsi="Arial" w:eastAsia="Arial"/>
          <w:b w:val="0"/>
          <w:i w:val="0"/>
          <w:sz w:val="20"/>
          <w:vertAlign w:val="superscript"/>
        </w:rPr>
        <w:t>7, 9</w:t>
      </w:r>
      <w:r>
        <w:rPr>
          <w:rFonts w:ascii="Arial" w:hAnsi="Arial" w:eastAsia="Arial"/>
          <w:b w:val="0"/>
          <w:i w:val="0"/>
          <w:sz w:val="20"/>
        </w:rPr>
        <w:t xml:space="preserve"> Local copies of the pages are stored with the code. If a posted team-score table and a reconstructed table both existed, the posted table was used. Individual times were used for first- and fifth-runner z-scores and to rebuild scores when no team table was posted. School names were matched with an alias list that also has sector, WCAC status, and a static grades 9–12 enrollment estimate. Names that could not be matched were dropped. Analyses used Python 3 with pandas, NumPy, and statsmodels.</w:t>
      </w:r>
      <w:r>
        <w:rPr>
          <w:rFonts w:ascii="Arial" w:hAnsi="Arial" w:eastAsia="Arial"/>
          <w:b w:val="0"/>
          <w:i w:val="0"/>
          <w:sz w:val="20"/>
          <w:vertAlign w:val="superscript"/>
        </w:rPr>
        <w:t>10–13</w:t>
      </w:r>
    </w:p>
    <w:p>
      <w:pPr>
        <w:spacing w:after="160" w:before="0" w:line="240" w:lineRule="auto"/>
        <w:ind w:firstLine="0"/>
      </w:pPr>
      <w:r>
        <w:rPr>
          <w:rFonts w:ascii="Arial" w:hAnsi="Arial" w:eastAsia="Arial"/>
          <w:b w:val="0"/>
          <w:i w:val="0"/>
          <w:sz w:val="22"/>
        </w:rPr>
        <w:t>Table 1. Championship-year data audit. All parsed years were at Kenilworth Park. Lagged rows are the fit sample except 2025 (holdout).</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1B365D" w:val="clear"/>
          </w:tcPr>
          <w:p>
            <w:pPr>
              <w:spacing w:after="0" w:before="0" w:line="240" w:lineRule="auto"/>
              <w:ind w:firstLine="0"/>
            </w:pPr>
            <w:r/>
            <w:r>
              <w:rPr>
                <w:rFonts w:ascii="Arial" w:hAnsi="Arial" w:eastAsia="Arial"/>
                <w:b/>
                <w:i w:val="0"/>
                <w:color w:val="FFFFFF"/>
                <w:sz w:val="18"/>
              </w:rPr>
              <w:t>Season</w:t>
            </w:r>
          </w:p>
        </w:tc>
        <w:tc>
          <w:tcPr>
            <w:tcW w:type="dxa" w:w="1560"/>
            <w:shd w:fill="1B365D" w:val="clear"/>
          </w:tcPr>
          <w:p>
            <w:pPr>
              <w:spacing w:after="0" w:before="0" w:line="240" w:lineRule="auto"/>
              <w:ind w:firstLine="0"/>
            </w:pPr>
            <w:r/>
            <w:r>
              <w:rPr>
                <w:rFonts w:ascii="Arial" w:hAnsi="Arial" w:eastAsia="Arial"/>
                <w:b/>
                <w:i w:val="0"/>
                <w:color w:val="FFFFFF"/>
                <w:sz w:val="18"/>
              </w:rPr>
              <w:t>File</w:t>
            </w:r>
          </w:p>
        </w:tc>
        <w:tc>
          <w:tcPr>
            <w:tcW w:type="dxa" w:w="1560"/>
            <w:shd w:fill="1B365D" w:val="clear"/>
          </w:tcPr>
          <w:p>
            <w:pPr>
              <w:spacing w:after="0" w:before="0" w:line="240" w:lineRule="auto"/>
              <w:ind w:firstLine="0"/>
            </w:pPr>
            <w:r/>
            <w:r>
              <w:rPr>
                <w:rFonts w:ascii="Arial" w:hAnsi="Arial" w:eastAsia="Arial"/>
                <w:b/>
                <w:i w:val="0"/>
                <w:color w:val="FFFFFF"/>
                <w:sz w:val="18"/>
              </w:rPr>
              <w:t>Finishers parsed</w:t>
            </w:r>
          </w:p>
        </w:tc>
        <w:tc>
          <w:tcPr>
            <w:tcW w:type="dxa" w:w="1560"/>
            <w:shd w:fill="1B365D" w:val="clear"/>
          </w:tcPr>
          <w:p>
            <w:pPr>
              <w:spacing w:after="0" w:before="0" w:line="240" w:lineRule="auto"/>
              <w:ind w:firstLine="0"/>
            </w:pPr>
            <w:r/>
            <w:r>
              <w:rPr>
                <w:rFonts w:ascii="Arial" w:hAnsi="Arial" w:eastAsia="Arial"/>
                <w:b/>
                <w:i w:val="0"/>
                <w:color w:val="FFFFFF"/>
                <w:sz w:val="18"/>
              </w:rPr>
              <w:t>Scoring teams</w:t>
            </w:r>
          </w:p>
        </w:tc>
        <w:tc>
          <w:tcPr>
            <w:tcW w:type="dxa" w:w="1560"/>
            <w:shd w:fill="1B365D" w:val="clear"/>
          </w:tcPr>
          <w:p>
            <w:pPr>
              <w:spacing w:after="0" w:before="0" w:line="240" w:lineRule="auto"/>
              <w:ind w:firstLine="0"/>
            </w:pPr>
            <w:r/>
            <w:r>
              <w:rPr>
                <w:rFonts w:ascii="Arial" w:hAnsi="Arial" w:eastAsia="Arial"/>
                <w:b/>
                <w:i w:val="0"/>
                <w:color w:val="FFFFFF"/>
                <w:sz w:val="18"/>
              </w:rPr>
              <w:t>Lagged rows</w:t>
            </w:r>
          </w:p>
        </w:tc>
        <w:tc>
          <w:tcPr>
            <w:tcW w:type="dxa" w:w="1560"/>
            <w:shd w:fill="1B365D" w:val="clear"/>
          </w:tcPr>
          <w:p>
            <w:pPr>
              <w:spacing w:after="0" w:before="0" w:line="240" w:lineRule="auto"/>
              <w:ind w:firstLine="0"/>
            </w:pPr>
            <w:r/>
            <w:r>
              <w:rPr>
                <w:rFonts w:ascii="Arial" w:hAnsi="Arial" w:eastAsia="Arial"/>
                <w:b/>
                <w:i w:val="0"/>
                <w:color w:val="FFFFFF"/>
                <w:sz w:val="18"/>
              </w:rPr>
              <w:t>Notes</w:t>
            </w:r>
          </w:p>
        </w:tc>
      </w:tr>
      <w:tr>
        <w:tc>
          <w:tcPr>
            <w:tcW w:type="dxa" w:w="1560"/>
          </w:tcPr>
          <w:p>
            <w:pPr>
              <w:spacing w:after="0" w:before="0" w:line="240" w:lineRule="auto"/>
              <w:ind w:firstLine="0"/>
            </w:pPr>
            <w:r/>
            <w:r>
              <w:rPr>
                <w:rFonts w:ascii="Arial" w:hAnsi="Arial" w:eastAsia="Arial"/>
                <w:b w:val="0"/>
                <w:i w:val="0"/>
                <w:sz w:val="16"/>
              </w:rPr>
              <w:t>2016</w:t>
            </w:r>
          </w:p>
        </w:tc>
        <w:tc>
          <w:tcPr>
            <w:tcW w:type="dxa" w:w="1560"/>
          </w:tcPr>
          <w:p>
            <w:pPr>
              <w:spacing w:after="0" w:before="0" w:line="240" w:lineRule="auto"/>
              <w:ind w:firstLine="0"/>
            </w:pPr>
            <w:r/>
            <w:r>
              <w:rPr>
                <w:rFonts w:ascii="Arial" w:hAnsi="Arial" w:eastAsia="Arial"/>
                <w:b w:val="0"/>
                <w:i w:val="0"/>
                <w:sz w:val="16"/>
              </w:rPr>
              <w:t>dcsaa_2016.txt</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Times without school names</w:t>
            </w:r>
          </w:p>
        </w:tc>
      </w:tr>
      <w:tr>
        <w:tc>
          <w:tcPr>
            <w:tcW w:type="dxa" w:w="1560"/>
          </w:tcPr>
          <w:p>
            <w:pPr>
              <w:spacing w:after="0" w:before="0" w:line="240" w:lineRule="auto"/>
              <w:ind w:firstLine="0"/>
            </w:pPr>
            <w:r/>
            <w:r>
              <w:rPr>
                <w:rFonts w:ascii="Arial" w:hAnsi="Arial" w:eastAsia="Arial"/>
                <w:b w:val="0"/>
                <w:i w:val="0"/>
                <w:sz w:val="16"/>
              </w:rPr>
              <w:t>2017</w:t>
            </w:r>
          </w:p>
        </w:tc>
        <w:tc>
          <w:tcPr>
            <w:tcW w:type="dxa" w:w="1560"/>
          </w:tcPr>
          <w:p>
            <w:pPr>
              <w:spacing w:after="0" w:before="0" w:line="240" w:lineRule="auto"/>
              <w:ind w:firstLine="0"/>
            </w:pPr>
            <w:r/>
            <w:r>
              <w:rPr>
                <w:rFonts w:ascii="Arial" w:hAnsi="Arial" w:eastAsia="Arial"/>
                <w:b w:val="0"/>
                <w:i w:val="0"/>
                <w:sz w:val="16"/>
              </w:rPr>
              <w:t>dcsaa_2017.txt</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Junior varsity page</w:t>
            </w:r>
          </w:p>
        </w:tc>
      </w:tr>
      <w:tr>
        <w:tc>
          <w:tcPr>
            <w:tcW w:type="dxa" w:w="1560"/>
          </w:tcPr>
          <w:p>
            <w:pPr>
              <w:spacing w:after="0" w:before="0" w:line="240" w:lineRule="auto"/>
              <w:ind w:firstLine="0"/>
            </w:pPr>
            <w:r/>
            <w:r>
              <w:rPr>
                <w:rFonts w:ascii="Arial" w:hAnsi="Arial" w:eastAsia="Arial"/>
                <w:b w:val="0"/>
                <w:i w:val="0"/>
                <w:sz w:val="16"/>
              </w:rPr>
              <w:t>2018</w:t>
            </w:r>
          </w:p>
        </w:tc>
        <w:tc>
          <w:tcPr>
            <w:tcW w:type="dxa" w:w="1560"/>
          </w:tcPr>
          <w:p>
            <w:pPr>
              <w:spacing w:after="0" w:before="0" w:line="240" w:lineRule="auto"/>
              <w:ind w:firstLine="0"/>
            </w:pPr>
            <w:r/>
            <w:r>
              <w:rPr>
                <w:rFonts w:ascii="Arial" w:hAnsi="Arial" w:eastAsia="Arial"/>
                <w:b w:val="0"/>
                <w:i w:val="0"/>
                <w:sz w:val="16"/>
              </w:rPr>
              <w:t>dcsaa_2018.txt</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Junior varsity page</w:t>
            </w:r>
          </w:p>
        </w:tc>
      </w:tr>
      <w:tr>
        <w:tc>
          <w:tcPr>
            <w:tcW w:type="dxa" w:w="1560"/>
          </w:tcPr>
          <w:p>
            <w:pPr>
              <w:spacing w:after="0" w:before="0" w:line="240" w:lineRule="auto"/>
              <w:ind w:firstLine="0"/>
            </w:pPr>
            <w:r/>
            <w:r>
              <w:rPr>
                <w:rFonts w:ascii="Arial" w:hAnsi="Arial" w:eastAsia="Arial"/>
                <w:b w:val="0"/>
                <w:i w:val="0"/>
                <w:sz w:val="16"/>
              </w:rPr>
              <w:t>2019</w:t>
            </w:r>
          </w:p>
        </w:tc>
        <w:tc>
          <w:tcPr>
            <w:tcW w:type="dxa" w:w="1560"/>
          </w:tcPr>
          <w:p>
            <w:pPr>
              <w:spacing w:after="0" w:before="0" w:line="240" w:lineRule="auto"/>
              <w:ind w:firstLine="0"/>
            </w:pPr>
            <w:r/>
            <w:r>
              <w:rPr>
                <w:rFonts w:ascii="Arial" w:hAnsi="Arial" w:eastAsia="Arial"/>
                <w:b w:val="0"/>
                <w:i w:val="0"/>
                <w:sz w:val="16"/>
              </w:rPr>
              <w:t>dcsaa_2019.txt</w:t>
            </w:r>
          </w:p>
        </w:tc>
        <w:tc>
          <w:tcPr>
            <w:tcW w:type="dxa" w:w="1560"/>
          </w:tcPr>
          <w:p>
            <w:pPr>
              <w:spacing w:after="0" w:before="0" w:line="240" w:lineRule="auto"/>
              <w:ind w:firstLine="0"/>
            </w:pPr>
            <w:r/>
            <w:r>
              <w:rPr>
                <w:rFonts w:ascii="Arial" w:hAnsi="Arial" w:eastAsia="Arial"/>
                <w:b w:val="0"/>
                <w:i w:val="0"/>
                <w:sz w:val="16"/>
              </w:rPr>
              <w:t>73</w:t>
            </w:r>
          </w:p>
        </w:tc>
        <w:tc>
          <w:tcPr>
            <w:tcW w:type="dxa" w:w="1560"/>
          </w:tcPr>
          <w:p>
            <w:pPr>
              <w:spacing w:after="0" w:before="0" w:line="240" w:lineRule="auto"/>
              <w:ind w:firstLine="0"/>
            </w:pPr>
            <w:r/>
            <w:r>
              <w:rPr>
                <w:rFonts w:ascii="Arial" w:hAnsi="Arial" w:eastAsia="Arial"/>
                <w:b w:val="0"/>
                <w:i w:val="0"/>
                <w:sz w:val="16"/>
              </w:rPr>
              <w:t>7</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Lag source</w:t>
            </w:r>
          </w:p>
        </w:tc>
      </w:tr>
      <w:tr>
        <w:tc>
          <w:tcPr>
            <w:tcW w:type="dxa" w:w="1560"/>
          </w:tcPr>
          <w:p>
            <w:pPr>
              <w:spacing w:after="0" w:before="0" w:line="240" w:lineRule="auto"/>
              <w:ind w:firstLine="0"/>
            </w:pPr>
            <w:r/>
            <w:r>
              <w:rPr>
                <w:rFonts w:ascii="Arial" w:hAnsi="Arial" w:eastAsia="Arial"/>
                <w:b w:val="0"/>
                <w:i w:val="0"/>
                <w:sz w:val="16"/>
              </w:rPr>
              <w:t>2020</w:t>
            </w:r>
          </w:p>
        </w:tc>
        <w:tc>
          <w:tcPr>
            <w:tcW w:type="dxa" w:w="1560"/>
          </w:tcPr>
          <w:p>
            <w:pPr>
              <w:spacing w:after="0" w:before="0" w:line="240" w:lineRule="auto"/>
              <w:ind w:firstLine="0"/>
            </w:pPr>
            <w:r/>
            <w:r>
              <w:rPr>
                <w:rFonts w:ascii="Arial" w:hAnsi="Arial" w:eastAsia="Arial"/>
                <w:b w:val="0"/>
                <w:i w:val="0"/>
                <w:sz w:val="16"/>
              </w:rPr>
              <w:t>—</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0</w:t>
            </w:r>
          </w:p>
        </w:tc>
        <w:tc>
          <w:tcPr>
            <w:tcW w:type="dxa" w:w="1560"/>
          </w:tcPr>
          <w:p>
            <w:pPr>
              <w:spacing w:after="0" w:before="0" w:line="240" w:lineRule="auto"/>
              <w:ind w:firstLine="0"/>
            </w:pPr>
            <w:r/>
            <w:r>
              <w:rPr>
                <w:rFonts w:ascii="Arial" w:hAnsi="Arial" w:eastAsia="Arial"/>
                <w:b w:val="0"/>
                <w:i w:val="0"/>
                <w:sz w:val="16"/>
              </w:rPr>
              <w:t>No championship</w:t>
            </w:r>
          </w:p>
        </w:tc>
      </w:tr>
      <w:tr>
        <w:tc>
          <w:tcPr>
            <w:tcW w:type="dxa" w:w="1560"/>
          </w:tcPr>
          <w:p>
            <w:pPr>
              <w:spacing w:after="0" w:before="0" w:line="240" w:lineRule="auto"/>
              <w:ind w:firstLine="0"/>
            </w:pPr>
            <w:r/>
            <w:r>
              <w:rPr>
                <w:rFonts w:ascii="Arial" w:hAnsi="Arial" w:eastAsia="Arial"/>
                <w:b w:val="0"/>
                <w:i w:val="0"/>
                <w:sz w:val="16"/>
              </w:rPr>
              <w:t>2021</w:t>
            </w:r>
          </w:p>
        </w:tc>
        <w:tc>
          <w:tcPr>
            <w:tcW w:type="dxa" w:w="1560"/>
          </w:tcPr>
          <w:p>
            <w:pPr>
              <w:spacing w:after="0" w:before="0" w:line="240" w:lineRule="auto"/>
              <w:ind w:firstLine="0"/>
            </w:pPr>
            <w:r/>
            <w:r>
              <w:rPr>
                <w:rFonts w:ascii="Arial" w:hAnsi="Arial" w:eastAsia="Arial"/>
                <w:b w:val="0"/>
                <w:i w:val="0"/>
                <w:sz w:val="16"/>
              </w:rPr>
              <w:t>dcsaa_2021.txt</w:t>
            </w:r>
          </w:p>
        </w:tc>
        <w:tc>
          <w:tcPr>
            <w:tcW w:type="dxa" w:w="1560"/>
          </w:tcPr>
          <w:p>
            <w:pPr>
              <w:spacing w:after="0" w:before="0" w:line="240" w:lineRule="auto"/>
              <w:ind w:firstLine="0"/>
            </w:pPr>
            <w:r/>
            <w:r>
              <w:rPr>
                <w:rFonts w:ascii="Arial" w:hAnsi="Arial" w:eastAsia="Arial"/>
                <w:b w:val="0"/>
                <w:i w:val="0"/>
                <w:sz w:val="16"/>
              </w:rPr>
              <w:t>71</w:t>
            </w:r>
          </w:p>
        </w:tc>
        <w:tc>
          <w:tcPr>
            <w:tcW w:type="dxa" w:w="1560"/>
          </w:tcPr>
          <w:p>
            <w:pPr>
              <w:spacing w:after="0" w:before="0" w:line="240" w:lineRule="auto"/>
              <w:ind w:firstLine="0"/>
            </w:pPr>
            <w:r/>
            <w:r>
              <w:rPr>
                <w:rFonts w:ascii="Arial" w:hAnsi="Arial" w:eastAsia="Arial"/>
                <w:b w:val="0"/>
                <w:i w:val="0"/>
                <w:sz w:val="16"/>
              </w:rPr>
              <w:t>8</w:t>
            </w:r>
          </w:p>
        </w:tc>
        <w:tc>
          <w:tcPr>
            <w:tcW w:type="dxa" w:w="1560"/>
          </w:tcPr>
          <w:p>
            <w:pPr>
              <w:spacing w:after="0" w:before="0" w:line="240" w:lineRule="auto"/>
              <w:ind w:firstLine="0"/>
            </w:pPr>
            <w:r/>
            <w:r>
              <w:rPr>
                <w:rFonts w:ascii="Arial" w:hAnsi="Arial" w:eastAsia="Arial"/>
                <w:b w:val="0"/>
                <w:i w:val="0"/>
                <w:sz w:val="16"/>
              </w:rPr>
              <w:t>6</w:t>
            </w:r>
          </w:p>
        </w:tc>
        <w:tc>
          <w:tcPr>
            <w:tcW w:type="dxa" w:w="1560"/>
          </w:tcPr>
          <w:p>
            <w:pPr>
              <w:spacing w:after="0" w:before="0" w:line="240" w:lineRule="auto"/>
              <w:ind w:firstLine="0"/>
            </w:pPr>
            <w:r/>
            <w:r>
              <w:rPr>
                <w:rFonts w:ascii="Arial" w:hAnsi="Arial" w:eastAsia="Arial"/>
                <w:b w:val="0"/>
                <w:i w:val="0"/>
                <w:sz w:val="16"/>
              </w:rPr>
              <w:t>Lag from 2019</w:t>
            </w:r>
          </w:p>
        </w:tc>
      </w:tr>
      <w:tr>
        <w:tc>
          <w:tcPr>
            <w:tcW w:type="dxa" w:w="1560"/>
          </w:tcPr>
          <w:p>
            <w:pPr>
              <w:spacing w:after="0" w:before="0" w:line="240" w:lineRule="auto"/>
              <w:ind w:firstLine="0"/>
            </w:pPr>
            <w:r/>
            <w:r>
              <w:rPr>
                <w:rFonts w:ascii="Arial" w:hAnsi="Arial" w:eastAsia="Arial"/>
                <w:b w:val="0"/>
                <w:i w:val="0"/>
                <w:sz w:val="16"/>
              </w:rPr>
              <w:t>2022</w:t>
            </w:r>
          </w:p>
        </w:tc>
        <w:tc>
          <w:tcPr>
            <w:tcW w:type="dxa" w:w="1560"/>
          </w:tcPr>
          <w:p>
            <w:pPr>
              <w:spacing w:after="0" w:before="0" w:line="240" w:lineRule="auto"/>
              <w:ind w:firstLine="0"/>
            </w:pPr>
            <w:r/>
            <w:r>
              <w:rPr>
                <w:rFonts w:ascii="Arial" w:hAnsi="Arial" w:eastAsia="Arial"/>
                <w:b w:val="0"/>
                <w:i w:val="0"/>
                <w:sz w:val="16"/>
              </w:rPr>
              <w:t>dcsaa_2022.txt</w:t>
            </w:r>
          </w:p>
        </w:tc>
        <w:tc>
          <w:tcPr>
            <w:tcW w:type="dxa" w:w="1560"/>
          </w:tcPr>
          <w:p>
            <w:pPr>
              <w:spacing w:after="0" w:before="0" w:line="240" w:lineRule="auto"/>
              <w:ind w:firstLine="0"/>
            </w:pPr>
            <w:r/>
            <w:r>
              <w:rPr>
                <w:rFonts w:ascii="Arial" w:hAnsi="Arial" w:eastAsia="Arial"/>
                <w:b w:val="0"/>
                <w:i w:val="0"/>
                <w:sz w:val="16"/>
              </w:rPr>
              <w:t>85</w:t>
            </w:r>
          </w:p>
        </w:tc>
        <w:tc>
          <w:tcPr>
            <w:tcW w:type="dxa" w:w="1560"/>
          </w:tcPr>
          <w:p>
            <w:pPr>
              <w:spacing w:after="0" w:before="0" w:line="240" w:lineRule="auto"/>
              <w:ind w:firstLine="0"/>
            </w:pPr>
            <w:r/>
            <w:r>
              <w:rPr>
                <w:rFonts w:ascii="Arial" w:hAnsi="Arial" w:eastAsia="Arial"/>
                <w:b w:val="0"/>
                <w:i w:val="0"/>
                <w:sz w:val="16"/>
              </w:rPr>
              <w:t>12</w:t>
            </w:r>
          </w:p>
        </w:tc>
        <w:tc>
          <w:tcPr>
            <w:tcW w:type="dxa" w:w="1560"/>
          </w:tcPr>
          <w:p>
            <w:pPr>
              <w:spacing w:after="0" w:before="0" w:line="240" w:lineRule="auto"/>
              <w:ind w:firstLine="0"/>
            </w:pPr>
            <w:r/>
            <w:r>
              <w:rPr>
                <w:rFonts w:ascii="Arial" w:hAnsi="Arial" w:eastAsia="Arial"/>
                <w:b w:val="0"/>
                <w:i w:val="0"/>
                <w:sz w:val="16"/>
              </w:rPr>
              <w:t>8</w:t>
            </w:r>
          </w:p>
        </w:tc>
        <w:tc>
          <w:tcPr>
            <w:tcW w:type="dxa" w:w="1560"/>
          </w:tcPr>
          <w:p>
            <w:pPr>
              <w:spacing w:after="0" w:before="0" w:line="240" w:lineRule="auto"/>
              <w:ind w:firstLine="0"/>
            </w:pPr>
            <w:r/>
            <w:r>
              <w:rPr>
                <w:rFonts w:ascii="Arial" w:hAnsi="Arial" w:eastAsia="Arial"/>
                <w:b w:val="0"/>
                <w:i w:val="0"/>
                <w:sz w:val="16"/>
              </w:rPr>
              <w:t>Lag and outcome</w:t>
            </w:r>
          </w:p>
        </w:tc>
      </w:tr>
      <w:tr>
        <w:tc>
          <w:tcPr>
            <w:tcW w:type="dxa" w:w="1560"/>
          </w:tcPr>
          <w:p>
            <w:pPr>
              <w:spacing w:after="0" w:before="0" w:line="240" w:lineRule="auto"/>
              <w:ind w:firstLine="0"/>
            </w:pPr>
            <w:r/>
            <w:r>
              <w:rPr>
                <w:rFonts w:ascii="Arial" w:hAnsi="Arial" w:eastAsia="Arial"/>
                <w:b w:val="0"/>
                <w:i w:val="0"/>
                <w:sz w:val="16"/>
              </w:rPr>
              <w:t>2023</w:t>
            </w:r>
          </w:p>
        </w:tc>
        <w:tc>
          <w:tcPr>
            <w:tcW w:type="dxa" w:w="1560"/>
          </w:tcPr>
          <w:p>
            <w:pPr>
              <w:spacing w:after="0" w:before="0" w:line="240" w:lineRule="auto"/>
              <w:ind w:firstLine="0"/>
            </w:pPr>
            <w:r/>
            <w:r>
              <w:rPr>
                <w:rFonts w:ascii="Arial" w:hAnsi="Arial" w:eastAsia="Arial"/>
                <w:b w:val="0"/>
                <w:i w:val="0"/>
                <w:sz w:val="16"/>
              </w:rPr>
              <w:t>dcsaa_2023.txt</w:t>
            </w:r>
          </w:p>
        </w:tc>
        <w:tc>
          <w:tcPr>
            <w:tcW w:type="dxa" w:w="1560"/>
          </w:tcPr>
          <w:p>
            <w:pPr>
              <w:spacing w:after="0" w:before="0" w:line="240" w:lineRule="auto"/>
              <w:ind w:firstLine="0"/>
            </w:pPr>
            <w:r/>
            <w:r>
              <w:rPr>
                <w:rFonts w:ascii="Arial" w:hAnsi="Arial" w:eastAsia="Arial"/>
                <w:b w:val="0"/>
                <w:i w:val="0"/>
                <w:sz w:val="16"/>
              </w:rPr>
              <w:t>93</w:t>
            </w:r>
          </w:p>
        </w:tc>
        <w:tc>
          <w:tcPr>
            <w:tcW w:type="dxa" w:w="1560"/>
          </w:tcPr>
          <w:p>
            <w:pPr>
              <w:spacing w:after="0" w:before="0" w:line="240" w:lineRule="auto"/>
              <w:ind w:firstLine="0"/>
            </w:pPr>
            <w:r/>
            <w:r>
              <w:rPr>
                <w:rFonts w:ascii="Arial" w:hAnsi="Arial" w:eastAsia="Arial"/>
                <w:b w:val="0"/>
                <w:i w:val="0"/>
                <w:sz w:val="16"/>
              </w:rPr>
              <w:t>14</w:t>
            </w:r>
          </w:p>
        </w:tc>
        <w:tc>
          <w:tcPr>
            <w:tcW w:type="dxa" w:w="1560"/>
          </w:tcPr>
          <w:p>
            <w:pPr>
              <w:spacing w:after="0" w:before="0" w:line="240" w:lineRule="auto"/>
              <w:ind w:firstLine="0"/>
            </w:pPr>
            <w:r/>
            <w:r>
              <w:rPr>
                <w:rFonts w:ascii="Arial" w:hAnsi="Arial" w:eastAsia="Arial"/>
                <w:b w:val="0"/>
                <w:i w:val="0"/>
                <w:sz w:val="16"/>
              </w:rPr>
              <w:t>11</w:t>
            </w:r>
          </w:p>
        </w:tc>
        <w:tc>
          <w:tcPr>
            <w:tcW w:type="dxa" w:w="1560"/>
          </w:tcPr>
          <w:p>
            <w:pPr>
              <w:spacing w:after="0" w:before="0" w:line="240" w:lineRule="auto"/>
              <w:ind w:firstLine="0"/>
            </w:pPr>
            <w:r/>
            <w:r>
              <w:rPr>
                <w:rFonts w:ascii="Arial" w:hAnsi="Arial" w:eastAsia="Arial"/>
                <w:b w:val="0"/>
                <w:i w:val="0"/>
                <w:sz w:val="16"/>
              </w:rPr>
              <w:t>Collapsed HY-TEK recovered</w:t>
            </w:r>
          </w:p>
        </w:tc>
      </w:tr>
      <w:tr>
        <w:tc>
          <w:tcPr>
            <w:tcW w:type="dxa" w:w="1560"/>
          </w:tcPr>
          <w:p>
            <w:pPr>
              <w:spacing w:after="0" w:before="0" w:line="240" w:lineRule="auto"/>
              <w:ind w:firstLine="0"/>
            </w:pPr>
            <w:r/>
            <w:r>
              <w:rPr>
                <w:rFonts w:ascii="Arial" w:hAnsi="Arial" w:eastAsia="Arial"/>
                <w:b w:val="0"/>
                <w:i w:val="0"/>
                <w:sz w:val="16"/>
              </w:rPr>
              <w:t>2024</w:t>
            </w:r>
          </w:p>
        </w:tc>
        <w:tc>
          <w:tcPr>
            <w:tcW w:type="dxa" w:w="1560"/>
          </w:tcPr>
          <w:p>
            <w:pPr>
              <w:spacing w:after="0" w:before="0" w:line="240" w:lineRule="auto"/>
              <w:ind w:firstLine="0"/>
            </w:pPr>
            <w:r/>
            <w:r>
              <w:rPr>
                <w:rFonts w:ascii="Arial" w:hAnsi="Arial" w:eastAsia="Arial"/>
                <w:b w:val="0"/>
                <w:i w:val="0"/>
                <w:sz w:val="16"/>
              </w:rPr>
              <w:t>dcsaa_2024.txt</w:t>
            </w:r>
          </w:p>
        </w:tc>
        <w:tc>
          <w:tcPr>
            <w:tcW w:type="dxa" w:w="1560"/>
          </w:tcPr>
          <w:p>
            <w:pPr>
              <w:spacing w:after="0" w:before="0" w:line="240" w:lineRule="auto"/>
              <w:ind w:firstLine="0"/>
            </w:pPr>
            <w:r/>
            <w:r>
              <w:rPr>
                <w:rFonts w:ascii="Arial" w:hAnsi="Arial" w:eastAsia="Arial"/>
                <w:b w:val="0"/>
                <w:i w:val="0"/>
                <w:sz w:val="16"/>
              </w:rPr>
              <w:t>404</w:t>
            </w:r>
          </w:p>
        </w:tc>
        <w:tc>
          <w:tcPr>
            <w:tcW w:type="dxa" w:w="1560"/>
          </w:tcPr>
          <w:p>
            <w:pPr>
              <w:spacing w:after="0" w:before="0" w:line="240" w:lineRule="auto"/>
              <w:ind w:firstLine="0"/>
            </w:pPr>
            <w:r/>
            <w:r>
              <w:rPr>
                <w:rFonts w:ascii="Arial" w:hAnsi="Arial" w:eastAsia="Arial"/>
                <w:b w:val="0"/>
                <w:i w:val="0"/>
                <w:sz w:val="16"/>
              </w:rPr>
              <w:t>19</w:t>
            </w:r>
          </w:p>
        </w:tc>
        <w:tc>
          <w:tcPr>
            <w:tcW w:type="dxa" w:w="1560"/>
          </w:tcPr>
          <w:p>
            <w:pPr>
              <w:spacing w:after="0" w:before="0" w:line="240" w:lineRule="auto"/>
              <w:ind w:firstLine="0"/>
            </w:pPr>
            <w:r/>
            <w:r>
              <w:rPr>
                <w:rFonts w:ascii="Arial" w:hAnsi="Arial" w:eastAsia="Arial"/>
                <w:b w:val="0"/>
                <w:i w:val="0"/>
                <w:sz w:val="16"/>
              </w:rPr>
              <w:t>15</w:t>
            </w:r>
          </w:p>
        </w:tc>
        <w:tc>
          <w:tcPr>
            <w:tcW w:type="dxa" w:w="1560"/>
          </w:tcPr>
          <w:p>
            <w:pPr>
              <w:spacing w:after="0" w:before="0" w:line="240" w:lineRule="auto"/>
              <w:ind w:firstLine="0"/>
            </w:pPr>
            <w:r/>
            <w:r>
              <w:rPr>
                <w:rFonts w:ascii="Arial" w:hAnsi="Arial" w:eastAsia="Arial"/>
                <w:b w:val="0"/>
                <w:i w:val="0"/>
                <w:sz w:val="16"/>
              </w:rPr>
              <w:t>Lag and outcome</w:t>
            </w:r>
          </w:p>
        </w:tc>
      </w:tr>
      <w:tr>
        <w:tc>
          <w:tcPr>
            <w:tcW w:type="dxa" w:w="1560"/>
          </w:tcPr>
          <w:p>
            <w:pPr>
              <w:spacing w:after="0" w:before="0" w:line="240" w:lineRule="auto"/>
              <w:ind w:firstLine="0"/>
            </w:pPr>
            <w:r/>
            <w:r>
              <w:rPr>
                <w:rFonts w:ascii="Arial" w:hAnsi="Arial" w:eastAsia="Arial"/>
                <w:b w:val="0"/>
                <w:i w:val="0"/>
                <w:sz w:val="16"/>
              </w:rPr>
              <w:t>2025</w:t>
            </w:r>
          </w:p>
        </w:tc>
        <w:tc>
          <w:tcPr>
            <w:tcW w:type="dxa" w:w="1560"/>
          </w:tcPr>
          <w:p>
            <w:pPr>
              <w:spacing w:after="0" w:before="0" w:line="240" w:lineRule="auto"/>
              <w:ind w:firstLine="0"/>
            </w:pPr>
            <w:r/>
            <w:r>
              <w:rPr>
                <w:rFonts w:ascii="Arial" w:hAnsi="Arial" w:eastAsia="Arial"/>
                <w:b w:val="0"/>
                <w:i w:val="0"/>
                <w:sz w:val="16"/>
              </w:rPr>
              <w:t>dcsaa_2025.txt</w:t>
            </w:r>
          </w:p>
        </w:tc>
        <w:tc>
          <w:tcPr>
            <w:tcW w:type="dxa" w:w="1560"/>
          </w:tcPr>
          <w:p>
            <w:pPr>
              <w:spacing w:after="0" w:before="0" w:line="240" w:lineRule="auto"/>
              <w:ind w:firstLine="0"/>
            </w:pPr>
            <w:r/>
            <w:r>
              <w:rPr>
                <w:rFonts w:ascii="Arial" w:hAnsi="Arial" w:eastAsia="Arial"/>
                <w:b w:val="0"/>
                <w:i w:val="0"/>
                <w:sz w:val="16"/>
              </w:rPr>
              <w:t>103</w:t>
            </w:r>
          </w:p>
        </w:tc>
        <w:tc>
          <w:tcPr>
            <w:tcW w:type="dxa" w:w="1560"/>
          </w:tcPr>
          <w:p>
            <w:pPr>
              <w:spacing w:after="0" w:before="0" w:line="240" w:lineRule="auto"/>
              <w:ind w:firstLine="0"/>
            </w:pPr>
            <w:r/>
            <w:r>
              <w:rPr>
                <w:rFonts w:ascii="Arial" w:hAnsi="Arial" w:eastAsia="Arial"/>
                <w:b w:val="0"/>
                <w:i w:val="0"/>
                <w:sz w:val="16"/>
              </w:rPr>
              <w:t>14</w:t>
            </w:r>
          </w:p>
        </w:tc>
        <w:tc>
          <w:tcPr>
            <w:tcW w:type="dxa" w:w="1560"/>
          </w:tcPr>
          <w:p>
            <w:pPr>
              <w:spacing w:after="0" w:before="0" w:line="240" w:lineRule="auto"/>
              <w:ind w:firstLine="0"/>
            </w:pPr>
            <w:r/>
            <w:r>
              <w:rPr>
                <w:rFonts w:ascii="Arial" w:hAnsi="Arial" w:eastAsia="Arial"/>
                <w:b w:val="0"/>
                <w:i w:val="0"/>
                <w:sz w:val="16"/>
              </w:rPr>
              <w:t>12 holdout</w:t>
            </w:r>
          </w:p>
        </w:tc>
        <w:tc>
          <w:tcPr>
            <w:tcW w:type="dxa" w:w="1560"/>
          </w:tcPr>
          <w:p>
            <w:pPr>
              <w:spacing w:after="0" w:before="0" w:line="240" w:lineRule="auto"/>
              <w:ind w:firstLine="0"/>
            </w:pPr>
            <w:r/>
            <w:r>
              <w:rPr>
                <w:rFonts w:ascii="Arial" w:hAnsi="Arial" w:eastAsia="Arial"/>
                <w:b w:val="0"/>
                <w:i w:val="0"/>
                <w:sz w:val="16"/>
              </w:rPr>
              <w:t>Temporal holdout</w:t>
            </w:r>
          </w:p>
        </w:tc>
      </w:tr>
    </w:tbl>
    <w:p>
      <w:pPr>
        <w:spacing w:after="160" w:before="0" w:line="240" w:lineRule="auto"/>
        <w:ind w:firstLine="0"/>
      </w:pPr>
    </w:p>
    <w:p>
      <w:pPr>
        <w:spacing w:after="160" w:before="120" w:line="240" w:lineRule="auto"/>
        <w:ind w:firstLine="0"/>
      </w:pPr>
      <w:r>
        <w:rPr>
          <w:rFonts w:ascii="Arial" w:hAnsi="Arial" w:eastAsia="Arial"/>
          <w:b/>
          <w:i/>
          <w:sz w:val="24"/>
        </w:rPr>
        <w:t>Inclusion and Features</w:t>
      </w:r>
    </w:p>
    <w:p>
      <w:pPr>
        <w:spacing w:after="160" w:before="0" w:line="240" w:lineRule="auto"/>
        <w:ind w:firstLine="0"/>
      </w:pPr>
      <w:r>
        <w:rPr>
          <w:rFonts w:ascii="Arial" w:hAnsi="Arial" w:eastAsia="Arial"/>
          <w:b w:val="0"/>
          <w:i w:val="0"/>
          <w:sz w:val="20"/>
        </w:rPr>
        <w:t>Only boys varsity 5 km finishers were kept. Junior varsity, Varsity B, and middle school races were dropped. Times outside 14–45 min were dropped. Extra finishers were capped at seven per school. A team needed five recorded finishers to enter the models. The z-score was z_i = (t_i − mean_s) / sd_s, using all parsed varsity boys that day. A higher z-score means a slower time relative to that field. Star z is the first runner. Depth z is the fifth runner. Pack gap is depth z minus star z.</w:t>
      </w:r>
    </w:p>
    <w:p>
      <w:pPr>
        <w:spacing w:after="160" w:before="120" w:line="240" w:lineRule="auto"/>
        <w:ind w:firstLine="0"/>
      </w:pPr>
      <w:r>
        <w:rPr>
          <w:rFonts w:ascii="Arial" w:hAnsi="Arial" w:eastAsia="Arial"/>
          <w:b/>
          <w:i/>
          <w:sz w:val="24"/>
        </w:rPr>
        <w:t>Statistical Analysis</w:t>
      </w:r>
    </w:p>
    <w:p>
      <w:pPr>
        <w:spacing w:after="160" w:before="0" w:line="240" w:lineRule="auto"/>
        <w:ind w:firstLine="0"/>
      </w:pPr>
      <w:r>
        <w:rPr>
          <w:rFonts w:ascii="Arial" w:hAnsi="Arial" w:eastAsia="Arial"/>
          <w:b w:val="0"/>
          <w:i w:val="0"/>
          <w:sz w:val="20"/>
        </w:rPr>
        <w:t>Nested OLS models of team place were: (i) log enrollment and sector (charter omitted); (ii) controls plus last year’s first-runner z; (iii) controls plus last year’s fifth-runner z; (iv) controls plus last year’s pack gap; (v) both z-scores; (vi) both z-scores plus WCAC. Model (vi) is exploratory. The same models were fit for team score. AIC differences are reported; a small ΔAIC is not treated as a clear winner.</w:t>
      </w:r>
      <w:r>
        <w:rPr>
          <w:rFonts w:ascii="Arial" w:hAnsi="Arial" w:eastAsia="Arial"/>
          <w:b w:val="0"/>
          <w:i w:val="0"/>
          <w:sz w:val="20"/>
          <w:vertAlign w:val="superscript"/>
        </w:rPr>
        <w:t>14</w:t>
      </w:r>
      <w:r>
        <w:rPr>
          <w:rFonts w:ascii="Arial" w:hAnsi="Arial" w:eastAsia="Arial"/>
          <w:b w:val="0"/>
          <w:i w:val="0"/>
          <w:sz w:val="20"/>
        </w:rPr>
        <w:t xml:space="preserve"> The 2025 season is one holdout year. RMSE and MAE versus the controls model are the main holdout metrics for place and score. Spearman correlation is secondary.</w:t>
      </w:r>
      <w:r>
        <w:rPr>
          <w:rFonts w:ascii="Arial" w:hAnsi="Arial" w:eastAsia="Arial"/>
          <w:b w:val="0"/>
          <w:i w:val="0"/>
          <w:sz w:val="20"/>
          <w:vertAlign w:val="superscript"/>
        </w:rPr>
        <w:t>15</w:t>
      </w:r>
      <w:r>
        <w:rPr>
          <w:rFonts w:ascii="Arial" w:hAnsi="Arial" w:eastAsia="Arial"/>
          <w:b w:val="0"/>
          <w:i w:val="0"/>
          <w:sz w:val="20"/>
        </w:rPr>
        <w:t xml:space="preserve"> Leave-one-school-out RMSE is the main extra check. Other checks were leave-one-season-out RMSE, a permutation test of the fifth-runner model R², and a swap of first- and fifth-runner z within teams. Invitational meet results were not used.</w:t>
      </w:r>
    </w:p>
    <w:p>
      <w:pPr>
        <w:spacing w:after="160" w:before="160" w:line="240" w:lineRule="auto"/>
        <w:ind w:firstLine="0"/>
      </w:pPr>
      <w:r>
        <w:rPr>
          <w:rFonts w:ascii="Arial" w:hAnsi="Arial" w:eastAsia="Arial"/>
          <w:b/>
          <w:i w:val="0"/>
          <w:sz w:val="28"/>
        </w:rPr>
        <w:t>Results and Discussion</w:t>
      </w:r>
    </w:p>
    <w:p>
      <w:pPr>
        <w:spacing w:after="160" w:before="120" w:line="240" w:lineRule="auto"/>
        <w:ind w:firstLine="0"/>
      </w:pPr>
      <w:r>
        <w:rPr>
          <w:rFonts w:ascii="Arial" w:hAnsi="Arial" w:eastAsia="Arial"/>
          <w:b/>
          <w:i/>
          <w:sz w:val="24"/>
        </w:rPr>
        <w:t>Sample</w:t>
      </w:r>
    </w:p>
    <w:p>
      <w:pPr>
        <w:spacing w:after="160" w:before="0" w:line="240" w:lineRule="auto"/>
        <w:ind w:firstLine="0"/>
      </w:pPr>
      <w:r>
        <w:rPr>
          <w:rFonts w:ascii="Arial" w:hAnsi="Arial" w:eastAsia="Arial"/>
          <w:b w:val="0"/>
          <w:i w:val="0"/>
          <w:sz w:val="20"/>
        </w:rPr>
        <w:t>After requiring a lag and five finishers, 40 team-seasons from 15 schools were in the fit sample (2021–2024). Twelve scoring teams were in 2025 (Figure 1). Last year’s first- and fifth-runner z-scores were highly correlated (r = 0.84).</w:t>
      </w:r>
    </w:p>
    <w:p>
      <w:pPr>
        <w:spacing w:after="80" w:before="0" w:line="240" w:lineRule="auto"/>
        <w:ind w:firstLine="0"/>
        <w:jc w:val="center"/>
      </w:pPr>
      <w:r>
        <w:drawing>
          <wp:inline xmlns:a="http://schemas.openxmlformats.org/drawingml/2006/main" xmlns:pic="http://schemas.openxmlformats.org/drawingml/2006/picture">
            <wp:extent cx="5943600" cy="3308290"/>
            <wp:docPr id="1" name="Picture 1"/>
            <wp:cNvGraphicFramePr>
              <a:graphicFrameLocks noChangeAspect="1"/>
            </wp:cNvGraphicFramePr>
            <a:graphic>
              <a:graphicData uri="http://schemas.openxmlformats.org/drawingml/2006/picture">
                <pic:pic>
                  <pic:nvPicPr>
                    <pic:cNvPr id="0" name="figure1_inclusion.jpg"/>
                    <pic:cNvPicPr/>
                  </pic:nvPicPr>
                  <pic:blipFill>
                    <a:blip r:embed="rId9"/>
                    <a:stretch>
                      <a:fillRect/>
                    </a:stretch>
                  </pic:blipFill>
                  <pic:spPr>
                    <a:xfrm>
                      <a:off x="0" y="0"/>
                      <a:ext cx="5943600" cy="3308290"/>
                    </a:xfrm>
                    <a:prstGeom prst="rect"/>
                  </pic:spPr>
                </pic:pic>
              </a:graphicData>
            </a:graphic>
          </wp:inline>
        </w:drawing>
      </w:r>
    </w:p>
    <w:p>
      <w:pPr>
        <w:spacing w:after="160" w:before="0" w:line="240" w:lineRule="auto"/>
        <w:ind w:firstLine="0"/>
      </w:pPr>
      <w:r>
        <w:rPr>
          <w:rFonts w:ascii="Arial" w:hAnsi="Arial" w:eastAsia="Arial"/>
          <w:b w:val="0"/>
          <w:i w:val="0"/>
          <w:sz w:val="22"/>
        </w:rPr>
        <w:t>Figure 1. Season-by-season inclusion of parsed varsity finishers, scoring teams, and lagged rows. Gold bars are individual finishers; teal bars are scoring teams; navy bars are lagged fit or holdout rows. This graph was created using Python 3 (matplotlib 3).|13|</w:t>
      </w:r>
    </w:p>
    <w:p>
      <w:pPr>
        <w:spacing w:after="160" w:before="120" w:line="240" w:lineRule="auto"/>
        <w:ind w:firstLine="0"/>
      </w:pPr>
      <w:r>
        <w:rPr>
          <w:rFonts w:ascii="Arial" w:hAnsi="Arial" w:eastAsia="Arial"/>
          <w:b/>
          <w:i/>
          <w:sz w:val="24"/>
        </w:rPr>
        <w:t>Primary Model Comparison</w:t>
      </w:r>
    </w:p>
    <w:p>
      <w:pPr>
        <w:spacing w:after="160" w:before="0" w:line="240" w:lineRule="auto"/>
        <w:ind w:firstLine="0"/>
      </w:pPr>
      <w:r>
        <w:rPr>
          <w:rFonts w:ascii="Arial" w:hAnsi="Arial" w:eastAsia="Arial"/>
          <w:b w:val="0"/>
          <w:i w:val="0"/>
          <w:sz w:val="20"/>
        </w:rPr>
        <w:t>Table 2 shows the nested OLS fits. Controls explained 46.5% of the variance in team place (adjusted R² = 0.42). Adding first-runner z raised R² to 0.62 (ΔAIC = 8.1 versus the fifth-runner model). Adding fifth-runner z raised R² to 0.69 and had the lowest AIC. The fifth-runner coefficient was 3.86 places per SD slower (cluster 95% CI 2.28 to 5.43; wild cluster bootstrap 95% CI 2.44 to 5.34). Pack gap alone only reached R² = 0.53 (ΔAIC = 16.7). In the joint model, fifth-runner z was still related to place (3.13, 95% CI 1.39 to 4.88) and first-runner z was not (1.43, 95% CI −0.59 to 3.46). Leave-one-school-out RMSE for the fifth-runner model was 2.80 places (Figure 2 and Figure 3). Team-score models ranked the same way. Fifth-runner z had the lowest AIC.</w:t>
      </w:r>
    </w:p>
    <w:p>
      <w:pPr>
        <w:spacing w:after="160" w:before="0" w:line="240" w:lineRule="auto"/>
        <w:ind w:firstLine="0"/>
      </w:pPr>
      <w:r>
        <w:rPr>
          <w:rFonts w:ascii="Arial" w:hAnsi="Arial" w:eastAsia="Arial"/>
          <w:b w:val="0"/>
          <w:i w:val="0"/>
          <w:sz w:val="22"/>
        </w:rPr>
        <w:t>Table 2. OLS models of next-year DCSAA boys team place with school-clustered standard errors (15 schools). ΔAIC is relative to the fifth-runner model. Statistical analysis was performed in Python 3 using statsmodels.|10,12|</w:t>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val="clear"/>
          </w:tcPr>
          <w:p>
            <w:pPr>
              <w:spacing w:after="0" w:before="0" w:line="240" w:lineRule="auto"/>
              <w:ind w:firstLine="0"/>
            </w:pPr>
            <w:r/>
            <w:r>
              <w:rPr>
                <w:rFonts w:ascii="Arial" w:hAnsi="Arial" w:eastAsia="Arial"/>
                <w:b/>
                <w:i w:val="0"/>
                <w:color w:val="FFFFFF"/>
                <w:sz w:val="18"/>
              </w:rPr>
              <w:t>Model</w:t>
            </w:r>
          </w:p>
        </w:tc>
        <w:tc>
          <w:tcPr>
            <w:tcW w:type="dxa" w:w="1170"/>
            <w:shd w:fill="1B365D" w:val="clear"/>
          </w:tcPr>
          <w:p>
            <w:pPr>
              <w:spacing w:after="0" w:before="0" w:line="240" w:lineRule="auto"/>
              <w:ind w:firstLine="0"/>
            </w:pPr>
            <w:r/>
            <w:r>
              <w:rPr>
                <w:rFonts w:ascii="Arial" w:hAnsi="Arial" w:eastAsia="Arial"/>
                <w:b/>
                <w:i w:val="0"/>
                <w:color w:val="FFFFFF"/>
                <w:sz w:val="18"/>
              </w:rPr>
              <w:t>N</w:t>
            </w:r>
          </w:p>
        </w:tc>
        <w:tc>
          <w:tcPr>
            <w:tcW w:type="dxa" w:w="1170"/>
            <w:shd w:fill="1B365D" w:val="clear"/>
          </w:tcPr>
          <w:p>
            <w:pPr>
              <w:spacing w:after="0" w:before="0" w:line="240" w:lineRule="auto"/>
              <w:ind w:firstLine="0"/>
            </w:pPr>
            <w:r/>
            <w:r>
              <w:rPr>
                <w:rFonts w:ascii="Arial" w:hAnsi="Arial" w:eastAsia="Arial"/>
                <w:b/>
                <w:i w:val="0"/>
                <w:color w:val="FFFFFF"/>
                <w:sz w:val="18"/>
              </w:rPr>
              <w:t>R²</w:t>
            </w:r>
          </w:p>
        </w:tc>
        <w:tc>
          <w:tcPr>
            <w:tcW w:type="dxa" w:w="1170"/>
            <w:shd w:fill="1B365D" w:val="clear"/>
          </w:tcPr>
          <w:p>
            <w:pPr>
              <w:spacing w:after="0" w:before="0" w:line="240" w:lineRule="auto"/>
              <w:ind w:firstLine="0"/>
            </w:pPr>
            <w:r/>
            <w:r>
              <w:rPr>
                <w:rFonts w:ascii="Arial" w:hAnsi="Arial" w:eastAsia="Arial"/>
                <w:b/>
                <w:i w:val="0"/>
                <w:color w:val="FFFFFF"/>
                <w:sz w:val="18"/>
              </w:rPr>
              <w:t>Adj. R²</w:t>
            </w:r>
          </w:p>
        </w:tc>
        <w:tc>
          <w:tcPr>
            <w:tcW w:type="dxa" w:w="1170"/>
            <w:shd w:fill="1B365D" w:val="clear"/>
          </w:tcPr>
          <w:p>
            <w:pPr>
              <w:spacing w:after="0" w:before="0" w:line="240" w:lineRule="auto"/>
              <w:ind w:firstLine="0"/>
            </w:pPr>
            <w:r/>
            <w:r>
              <w:rPr>
                <w:rFonts w:ascii="Arial" w:hAnsi="Arial" w:eastAsia="Arial"/>
                <w:b/>
                <w:i w:val="0"/>
                <w:color w:val="FFFFFF"/>
                <w:sz w:val="18"/>
              </w:rPr>
              <w:t>AIC</w:t>
            </w:r>
          </w:p>
        </w:tc>
        <w:tc>
          <w:tcPr>
            <w:tcW w:type="dxa" w:w="1170"/>
            <w:shd w:fill="1B365D" w:val="clear"/>
          </w:tcPr>
          <w:p>
            <w:pPr>
              <w:spacing w:after="0" w:before="0" w:line="240" w:lineRule="auto"/>
              <w:ind w:firstLine="0"/>
            </w:pPr>
            <w:r/>
            <w:r>
              <w:rPr>
                <w:rFonts w:ascii="Arial" w:hAnsi="Arial" w:eastAsia="Arial"/>
                <w:b/>
                <w:i w:val="0"/>
                <w:color w:val="FFFFFF"/>
                <w:sz w:val="18"/>
              </w:rPr>
              <w:t>ΔAIC</w:t>
            </w:r>
          </w:p>
        </w:tc>
        <w:tc>
          <w:tcPr>
            <w:tcW w:type="dxa" w:w="1170"/>
            <w:shd w:fill="1B365D" w:val="clear"/>
          </w:tcPr>
          <w:p>
            <w:pPr>
              <w:spacing w:after="0" w:before="0" w:line="240" w:lineRule="auto"/>
              <w:ind w:firstLine="0"/>
            </w:pPr>
            <w:r/>
            <w:r>
              <w:rPr>
                <w:rFonts w:ascii="Arial" w:hAnsi="Arial" w:eastAsia="Arial"/>
                <w:b/>
                <w:i w:val="0"/>
                <w:color w:val="FFFFFF"/>
                <w:sz w:val="18"/>
              </w:rPr>
              <w:t>Focal coef (SE)</w:t>
            </w:r>
          </w:p>
        </w:tc>
        <w:tc>
          <w:tcPr>
            <w:tcW w:type="dxa" w:w="1170"/>
            <w:shd w:fill="1B365D" w:val="clear"/>
          </w:tcPr>
          <w:p>
            <w:pPr>
              <w:spacing w:after="0" w:before="0" w:line="240" w:lineRule="auto"/>
              <w:ind w:firstLine="0"/>
            </w:pPr>
            <w:r/>
            <w:r>
              <w:rPr>
                <w:rFonts w:ascii="Arial" w:hAnsi="Arial" w:eastAsia="Arial"/>
                <w:b/>
                <w:i w:val="0"/>
                <w:color w:val="FFFFFF"/>
                <w:sz w:val="18"/>
              </w:rPr>
              <w:t>95% CI</w:t>
            </w:r>
          </w:p>
        </w:tc>
      </w:tr>
      <w:tr>
        <w:tc>
          <w:tcPr>
            <w:tcW w:type="dxa" w:w="1170"/>
          </w:tcPr>
          <w:p>
            <w:pPr>
              <w:spacing w:after="0" w:before="0" w:line="240" w:lineRule="auto"/>
              <w:ind w:firstLine="0"/>
            </w:pPr>
            <w:r/>
            <w:r>
              <w:rPr>
                <w:rFonts w:ascii="Arial" w:hAnsi="Arial" w:eastAsia="Arial"/>
                <w:b w:val="0"/>
                <w:i w:val="0"/>
                <w:sz w:val="16"/>
              </w:rPr>
              <w:t>Controls</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0.465</w:t>
            </w:r>
          </w:p>
        </w:tc>
        <w:tc>
          <w:tcPr>
            <w:tcW w:type="dxa" w:w="1170"/>
          </w:tcPr>
          <w:p>
            <w:pPr>
              <w:spacing w:after="0" w:before="0" w:line="240" w:lineRule="auto"/>
              <w:ind w:firstLine="0"/>
            </w:pPr>
            <w:r/>
            <w:r>
              <w:rPr>
                <w:rFonts w:ascii="Arial" w:hAnsi="Arial" w:eastAsia="Arial"/>
                <w:b w:val="0"/>
                <w:i w:val="0"/>
                <w:sz w:val="16"/>
              </w:rPr>
              <w:t>0.420</w:t>
            </w:r>
          </w:p>
        </w:tc>
        <w:tc>
          <w:tcPr>
            <w:tcW w:type="dxa" w:w="1170"/>
          </w:tcPr>
          <w:p>
            <w:pPr>
              <w:spacing w:after="0" w:before="0" w:line="240" w:lineRule="auto"/>
              <w:ind w:firstLine="0"/>
            </w:pPr>
            <w:r/>
            <w:r>
              <w:rPr>
                <w:rFonts w:ascii="Arial" w:hAnsi="Arial" w:eastAsia="Arial"/>
                <w:b w:val="0"/>
                <w:i w:val="0"/>
                <w:sz w:val="16"/>
              </w:rPr>
              <w:t>210.3</w:t>
            </w:r>
          </w:p>
        </w:tc>
        <w:tc>
          <w:tcPr>
            <w:tcW w:type="dxa" w:w="1170"/>
          </w:tcPr>
          <w:p>
            <w:pPr>
              <w:spacing w:after="0" w:before="0" w:line="240" w:lineRule="auto"/>
              <w:ind w:firstLine="0"/>
            </w:pPr>
            <w:r/>
            <w:r>
              <w:rPr>
                <w:rFonts w:ascii="Arial" w:hAnsi="Arial" w:eastAsia="Arial"/>
                <w:b w:val="0"/>
                <w:i w:val="0"/>
                <w:sz w:val="16"/>
              </w:rPr>
              <w:t>19.7</w:t>
            </w:r>
          </w:p>
        </w:tc>
        <w:tc>
          <w:tcPr>
            <w:tcW w:type="dxa" w:w="1170"/>
          </w:tcPr>
          <w:p>
            <w:pPr>
              <w:spacing w:after="0" w:before="0" w:line="240" w:lineRule="auto"/>
              <w:ind w:firstLine="0"/>
            </w:pPr>
            <w:r/>
            <w:r>
              <w:rPr>
                <w:rFonts w:ascii="Arial" w:hAnsi="Arial" w:eastAsia="Arial"/>
                <w:b w:val="0"/>
                <w:i w:val="0"/>
                <w:sz w:val="16"/>
              </w:rPr>
              <w:t>Private −6.94 (1.91)</w:t>
            </w:r>
          </w:p>
        </w:tc>
        <w:tc>
          <w:tcPr>
            <w:tcW w:type="dxa" w:w="1170"/>
          </w:tcPr>
          <w:p>
            <w:pPr>
              <w:spacing w:after="0" w:before="0" w:line="240" w:lineRule="auto"/>
              <w:ind w:firstLine="0"/>
            </w:pPr>
            <w:r/>
            <w:r>
              <w:rPr>
                <w:rFonts w:ascii="Arial" w:hAnsi="Arial" w:eastAsia="Arial"/>
                <w:b w:val="0"/>
                <w:i w:val="0"/>
                <w:sz w:val="16"/>
              </w:rPr>
              <w:t>−10.69, −3.20</w:t>
            </w:r>
          </w:p>
        </w:tc>
      </w:tr>
      <w:tr>
        <w:tc>
          <w:tcPr>
            <w:tcW w:type="dxa" w:w="1170"/>
          </w:tcPr>
          <w:p>
            <w:pPr>
              <w:spacing w:after="0" w:before="0" w:line="240" w:lineRule="auto"/>
              <w:ind w:firstLine="0"/>
            </w:pPr>
            <w:r/>
            <w:r>
              <w:rPr>
                <w:rFonts w:ascii="Arial" w:hAnsi="Arial" w:eastAsia="Arial"/>
                <w:b w:val="0"/>
                <w:i w:val="0"/>
                <w:sz w:val="16"/>
              </w:rPr>
              <w:t>+ first-runner z</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0.619</w:t>
            </w:r>
          </w:p>
        </w:tc>
        <w:tc>
          <w:tcPr>
            <w:tcW w:type="dxa" w:w="1170"/>
          </w:tcPr>
          <w:p>
            <w:pPr>
              <w:spacing w:after="0" w:before="0" w:line="240" w:lineRule="auto"/>
              <w:ind w:firstLine="0"/>
            </w:pPr>
            <w:r/>
            <w:r>
              <w:rPr>
                <w:rFonts w:ascii="Arial" w:hAnsi="Arial" w:eastAsia="Arial"/>
                <w:b w:val="0"/>
                <w:i w:val="0"/>
                <w:sz w:val="16"/>
              </w:rPr>
              <w:t>0.575</w:t>
            </w:r>
          </w:p>
        </w:tc>
        <w:tc>
          <w:tcPr>
            <w:tcW w:type="dxa" w:w="1170"/>
          </w:tcPr>
          <w:p>
            <w:pPr>
              <w:spacing w:after="0" w:before="0" w:line="240" w:lineRule="auto"/>
              <w:ind w:firstLine="0"/>
            </w:pPr>
            <w:r/>
            <w:r>
              <w:rPr>
                <w:rFonts w:ascii="Arial" w:hAnsi="Arial" w:eastAsia="Arial"/>
                <w:b w:val="0"/>
                <w:i w:val="0"/>
                <w:sz w:val="16"/>
              </w:rPr>
              <w:t>198.8</w:t>
            </w:r>
          </w:p>
        </w:tc>
        <w:tc>
          <w:tcPr>
            <w:tcW w:type="dxa" w:w="1170"/>
          </w:tcPr>
          <w:p>
            <w:pPr>
              <w:spacing w:after="0" w:before="0" w:line="240" w:lineRule="auto"/>
              <w:ind w:firstLine="0"/>
            </w:pPr>
            <w:r/>
            <w:r>
              <w:rPr>
                <w:rFonts w:ascii="Arial" w:hAnsi="Arial" w:eastAsia="Arial"/>
                <w:b w:val="0"/>
                <w:i w:val="0"/>
                <w:sz w:val="16"/>
              </w:rPr>
              <w:t>8.1</w:t>
            </w:r>
          </w:p>
        </w:tc>
        <w:tc>
          <w:tcPr>
            <w:tcW w:type="dxa" w:w="1170"/>
          </w:tcPr>
          <w:p>
            <w:pPr>
              <w:spacing w:after="0" w:before="0" w:line="240" w:lineRule="auto"/>
              <w:ind w:firstLine="0"/>
            </w:pPr>
            <w:r/>
            <w:r>
              <w:rPr>
                <w:rFonts w:ascii="Arial" w:hAnsi="Arial" w:eastAsia="Arial"/>
                <w:b w:val="0"/>
                <w:i w:val="0"/>
                <w:sz w:val="16"/>
              </w:rPr>
              <w:t>4.32 (1.01)</w:t>
            </w:r>
          </w:p>
        </w:tc>
        <w:tc>
          <w:tcPr>
            <w:tcW w:type="dxa" w:w="1170"/>
          </w:tcPr>
          <w:p>
            <w:pPr>
              <w:spacing w:after="0" w:before="0" w:line="240" w:lineRule="auto"/>
              <w:ind w:firstLine="0"/>
            </w:pPr>
            <w:r/>
            <w:r>
              <w:rPr>
                <w:rFonts w:ascii="Arial" w:hAnsi="Arial" w:eastAsia="Arial"/>
                <w:b w:val="0"/>
                <w:i w:val="0"/>
                <w:sz w:val="16"/>
              </w:rPr>
              <w:t>2.34, 6.30</w:t>
            </w:r>
          </w:p>
        </w:tc>
      </w:tr>
      <w:tr>
        <w:tc>
          <w:tcPr>
            <w:tcW w:type="dxa" w:w="1170"/>
          </w:tcPr>
          <w:p>
            <w:pPr>
              <w:spacing w:after="0" w:before="0" w:line="240" w:lineRule="auto"/>
              <w:ind w:firstLine="0"/>
            </w:pPr>
            <w:r/>
            <w:r>
              <w:rPr>
                <w:rFonts w:ascii="Arial" w:hAnsi="Arial" w:eastAsia="Arial"/>
                <w:b w:val="0"/>
                <w:i w:val="0"/>
                <w:sz w:val="16"/>
              </w:rPr>
              <w:t>+ fifth-runner z</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0.689</w:t>
            </w:r>
          </w:p>
        </w:tc>
        <w:tc>
          <w:tcPr>
            <w:tcW w:type="dxa" w:w="1170"/>
          </w:tcPr>
          <w:p>
            <w:pPr>
              <w:spacing w:after="0" w:before="0" w:line="240" w:lineRule="auto"/>
              <w:ind w:firstLine="0"/>
            </w:pPr>
            <w:r/>
            <w:r>
              <w:rPr>
                <w:rFonts w:ascii="Arial" w:hAnsi="Arial" w:eastAsia="Arial"/>
                <w:b w:val="0"/>
                <w:i w:val="0"/>
                <w:sz w:val="16"/>
              </w:rPr>
              <w:t>0.653</w:t>
            </w:r>
          </w:p>
        </w:tc>
        <w:tc>
          <w:tcPr>
            <w:tcW w:type="dxa" w:w="1170"/>
          </w:tcPr>
          <w:p>
            <w:pPr>
              <w:spacing w:after="0" w:before="0" w:line="240" w:lineRule="auto"/>
              <w:ind w:firstLine="0"/>
            </w:pPr>
            <w:r/>
            <w:r>
              <w:rPr>
                <w:rFonts w:ascii="Arial" w:hAnsi="Arial" w:eastAsia="Arial"/>
                <w:b w:val="0"/>
                <w:i w:val="0"/>
                <w:sz w:val="16"/>
              </w:rPr>
              <w:t>190.6</w:t>
            </w:r>
          </w:p>
        </w:tc>
        <w:tc>
          <w:tcPr>
            <w:tcW w:type="dxa" w:w="1170"/>
          </w:tcPr>
          <w:p>
            <w:pPr>
              <w:spacing w:after="0" w:before="0" w:line="240" w:lineRule="auto"/>
              <w:ind w:firstLine="0"/>
            </w:pPr>
            <w:r/>
            <w:r>
              <w:rPr>
                <w:rFonts w:ascii="Arial" w:hAnsi="Arial" w:eastAsia="Arial"/>
                <w:b w:val="0"/>
                <w:i w:val="0"/>
                <w:sz w:val="16"/>
              </w:rPr>
              <w:t>0.0</w:t>
            </w:r>
          </w:p>
        </w:tc>
        <w:tc>
          <w:tcPr>
            <w:tcW w:type="dxa" w:w="1170"/>
          </w:tcPr>
          <w:p>
            <w:pPr>
              <w:spacing w:after="0" w:before="0" w:line="240" w:lineRule="auto"/>
              <w:ind w:firstLine="0"/>
            </w:pPr>
            <w:r/>
            <w:r>
              <w:rPr>
                <w:rFonts w:ascii="Arial" w:hAnsi="Arial" w:eastAsia="Arial"/>
                <w:b w:val="0"/>
                <w:i w:val="0"/>
                <w:sz w:val="16"/>
              </w:rPr>
              <w:t>3.86 (0.80)</w:t>
            </w:r>
          </w:p>
        </w:tc>
        <w:tc>
          <w:tcPr>
            <w:tcW w:type="dxa" w:w="1170"/>
          </w:tcPr>
          <w:p>
            <w:pPr>
              <w:spacing w:after="0" w:before="0" w:line="240" w:lineRule="auto"/>
              <w:ind w:firstLine="0"/>
            </w:pPr>
            <w:r/>
            <w:r>
              <w:rPr>
                <w:rFonts w:ascii="Arial" w:hAnsi="Arial" w:eastAsia="Arial"/>
                <w:b w:val="0"/>
                <w:i w:val="0"/>
                <w:sz w:val="16"/>
              </w:rPr>
              <w:t>2.28, 5.43</w:t>
            </w:r>
          </w:p>
        </w:tc>
      </w:tr>
      <w:tr>
        <w:tc>
          <w:tcPr>
            <w:tcW w:type="dxa" w:w="1170"/>
          </w:tcPr>
          <w:p>
            <w:pPr>
              <w:spacing w:after="0" w:before="0" w:line="240" w:lineRule="auto"/>
              <w:ind w:firstLine="0"/>
            </w:pPr>
            <w:r/>
            <w:r>
              <w:rPr>
                <w:rFonts w:ascii="Arial" w:hAnsi="Arial" w:eastAsia="Arial"/>
                <w:b w:val="0"/>
                <w:i w:val="0"/>
                <w:sz w:val="16"/>
              </w:rPr>
              <w:t>+ pack gap</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0.527</w:t>
            </w:r>
          </w:p>
        </w:tc>
        <w:tc>
          <w:tcPr>
            <w:tcW w:type="dxa" w:w="1170"/>
          </w:tcPr>
          <w:p>
            <w:pPr>
              <w:spacing w:after="0" w:before="0" w:line="240" w:lineRule="auto"/>
              <w:ind w:firstLine="0"/>
            </w:pPr>
            <w:r/>
            <w:r>
              <w:rPr>
                <w:rFonts w:ascii="Arial" w:hAnsi="Arial" w:eastAsia="Arial"/>
                <w:b w:val="0"/>
                <w:i w:val="0"/>
                <w:sz w:val="16"/>
              </w:rPr>
              <w:t>0.473</w:t>
            </w:r>
          </w:p>
        </w:tc>
        <w:tc>
          <w:tcPr>
            <w:tcW w:type="dxa" w:w="1170"/>
          </w:tcPr>
          <w:p>
            <w:pPr>
              <w:spacing w:after="0" w:before="0" w:line="240" w:lineRule="auto"/>
              <w:ind w:firstLine="0"/>
            </w:pPr>
            <w:r/>
            <w:r>
              <w:rPr>
                <w:rFonts w:ascii="Arial" w:hAnsi="Arial" w:eastAsia="Arial"/>
                <w:b w:val="0"/>
                <w:i w:val="0"/>
                <w:sz w:val="16"/>
              </w:rPr>
              <w:t>207.4</w:t>
            </w:r>
          </w:p>
        </w:tc>
        <w:tc>
          <w:tcPr>
            <w:tcW w:type="dxa" w:w="1170"/>
          </w:tcPr>
          <w:p>
            <w:pPr>
              <w:spacing w:after="0" w:before="0" w:line="240" w:lineRule="auto"/>
              <w:ind w:firstLine="0"/>
            </w:pPr>
            <w:r/>
            <w:r>
              <w:rPr>
                <w:rFonts w:ascii="Arial" w:hAnsi="Arial" w:eastAsia="Arial"/>
                <w:b w:val="0"/>
                <w:i w:val="0"/>
                <w:sz w:val="16"/>
              </w:rPr>
              <w:t>16.7</w:t>
            </w:r>
          </w:p>
        </w:tc>
        <w:tc>
          <w:tcPr>
            <w:tcW w:type="dxa" w:w="1170"/>
          </w:tcPr>
          <w:p>
            <w:pPr>
              <w:spacing w:after="0" w:before="0" w:line="240" w:lineRule="auto"/>
              <w:ind w:firstLine="0"/>
            </w:pPr>
            <w:r/>
            <w:r>
              <w:rPr>
                <w:rFonts w:ascii="Arial" w:hAnsi="Arial" w:eastAsia="Arial"/>
                <w:b w:val="0"/>
                <w:i w:val="0"/>
                <w:sz w:val="16"/>
              </w:rPr>
              <w:t>2.77 (0.93)</w:t>
            </w:r>
          </w:p>
        </w:tc>
        <w:tc>
          <w:tcPr>
            <w:tcW w:type="dxa" w:w="1170"/>
          </w:tcPr>
          <w:p>
            <w:pPr>
              <w:spacing w:after="0" w:before="0" w:line="240" w:lineRule="auto"/>
              <w:ind w:firstLine="0"/>
            </w:pPr>
            <w:r/>
            <w:r>
              <w:rPr>
                <w:rFonts w:ascii="Arial" w:hAnsi="Arial" w:eastAsia="Arial"/>
                <w:b w:val="0"/>
                <w:i w:val="0"/>
                <w:sz w:val="16"/>
              </w:rPr>
              <w:t>0.95, 4.59</w:t>
            </w:r>
          </w:p>
        </w:tc>
      </w:tr>
      <w:tr>
        <w:tc>
          <w:tcPr>
            <w:tcW w:type="dxa" w:w="1170"/>
          </w:tcPr>
          <w:p>
            <w:pPr>
              <w:spacing w:after="0" w:before="0" w:line="240" w:lineRule="auto"/>
              <w:ind w:firstLine="0"/>
            </w:pPr>
            <w:r/>
            <w:r>
              <w:rPr>
                <w:rFonts w:ascii="Arial" w:hAnsi="Arial" w:eastAsia="Arial"/>
                <w:b w:val="0"/>
                <w:i w:val="0"/>
                <w:sz w:val="16"/>
              </w:rPr>
              <w:t>Both z-scores</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0.698</w:t>
            </w:r>
          </w:p>
        </w:tc>
        <w:tc>
          <w:tcPr>
            <w:tcW w:type="dxa" w:w="1170"/>
          </w:tcPr>
          <w:p>
            <w:pPr>
              <w:spacing w:after="0" w:before="0" w:line="240" w:lineRule="auto"/>
              <w:ind w:firstLine="0"/>
            </w:pPr>
            <w:r/>
            <w:r>
              <w:rPr>
                <w:rFonts w:ascii="Arial" w:hAnsi="Arial" w:eastAsia="Arial"/>
                <w:b w:val="0"/>
                <w:i w:val="0"/>
                <w:sz w:val="16"/>
              </w:rPr>
              <w:t>0.654</w:t>
            </w:r>
          </w:p>
        </w:tc>
        <w:tc>
          <w:tcPr>
            <w:tcW w:type="dxa" w:w="1170"/>
          </w:tcPr>
          <w:p>
            <w:pPr>
              <w:spacing w:after="0" w:before="0" w:line="240" w:lineRule="auto"/>
              <w:ind w:firstLine="0"/>
            </w:pPr>
            <w:r/>
            <w:r>
              <w:rPr>
                <w:rFonts w:ascii="Arial" w:hAnsi="Arial" w:eastAsia="Arial"/>
                <w:b w:val="0"/>
                <w:i w:val="0"/>
                <w:sz w:val="16"/>
              </w:rPr>
              <w:t>191.5</w:t>
            </w:r>
          </w:p>
        </w:tc>
        <w:tc>
          <w:tcPr>
            <w:tcW w:type="dxa" w:w="1170"/>
          </w:tcPr>
          <w:p>
            <w:pPr>
              <w:spacing w:after="0" w:before="0" w:line="240" w:lineRule="auto"/>
              <w:ind w:firstLine="0"/>
            </w:pPr>
            <w:r/>
            <w:r>
              <w:rPr>
                <w:rFonts w:ascii="Arial" w:hAnsi="Arial" w:eastAsia="Arial"/>
                <w:b w:val="0"/>
                <w:i w:val="0"/>
                <w:sz w:val="16"/>
              </w:rPr>
              <w:t>0.8</w:t>
            </w:r>
          </w:p>
        </w:tc>
        <w:tc>
          <w:tcPr>
            <w:tcW w:type="dxa" w:w="1170"/>
          </w:tcPr>
          <w:p>
            <w:pPr>
              <w:spacing w:after="0" w:before="0" w:line="240" w:lineRule="auto"/>
              <w:ind w:firstLine="0"/>
            </w:pPr>
            <w:r/>
            <w:r>
              <w:rPr>
                <w:rFonts w:ascii="Arial" w:hAnsi="Arial" w:eastAsia="Arial"/>
                <w:b w:val="0"/>
                <w:i w:val="0"/>
                <w:sz w:val="16"/>
              </w:rPr>
              <w:t>Depth 3.13 (0.89)</w:t>
            </w:r>
          </w:p>
        </w:tc>
        <w:tc>
          <w:tcPr>
            <w:tcW w:type="dxa" w:w="1170"/>
          </w:tcPr>
          <w:p>
            <w:pPr>
              <w:spacing w:after="0" w:before="0" w:line="240" w:lineRule="auto"/>
              <w:ind w:firstLine="0"/>
            </w:pPr>
            <w:r/>
            <w:r>
              <w:rPr>
                <w:rFonts w:ascii="Arial" w:hAnsi="Arial" w:eastAsia="Arial"/>
                <w:b w:val="0"/>
                <w:i w:val="0"/>
                <w:sz w:val="16"/>
              </w:rPr>
              <w:t>1.39, 4.88</w:t>
            </w:r>
          </w:p>
        </w:tc>
      </w:tr>
      <w:tr>
        <w:tc>
          <w:tcPr>
            <w:tcW w:type="dxa" w:w="1170"/>
          </w:tcPr>
          <w:p>
            <w:pPr>
              <w:spacing w:after="0" w:before="0" w:line="240" w:lineRule="auto"/>
              <w:ind w:firstLine="0"/>
            </w:pPr>
            <w:r/>
            <w:r>
              <w:rPr>
                <w:rFonts w:ascii="Arial" w:hAnsi="Arial" w:eastAsia="Arial"/>
                <w:b w:val="0"/>
                <w:i w:val="0"/>
                <w:sz w:val="16"/>
              </w:rPr>
              <w:t>+ WCAC (exploratory)</w:t>
            </w:r>
          </w:p>
        </w:tc>
        <w:tc>
          <w:tcPr>
            <w:tcW w:type="dxa" w:w="1170"/>
          </w:tcPr>
          <w:p>
            <w:pPr>
              <w:spacing w:after="0" w:before="0" w:line="240" w:lineRule="auto"/>
              <w:ind w:firstLine="0"/>
            </w:pPr>
            <w:r/>
            <w:r>
              <w:rPr>
                <w:rFonts w:ascii="Arial" w:hAnsi="Arial" w:eastAsia="Arial"/>
                <w:b w:val="0"/>
                <w:i w:val="0"/>
                <w:sz w:val="16"/>
              </w:rPr>
              <w:t>40</w:t>
            </w:r>
          </w:p>
        </w:tc>
        <w:tc>
          <w:tcPr>
            <w:tcW w:type="dxa" w:w="1170"/>
          </w:tcPr>
          <w:p>
            <w:pPr>
              <w:spacing w:after="0" w:before="0" w:line="240" w:lineRule="auto"/>
              <w:ind w:firstLine="0"/>
            </w:pPr>
            <w:r/>
            <w:r>
              <w:rPr>
                <w:rFonts w:ascii="Arial" w:hAnsi="Arial" w:eastAsia="Arial"/>
                <w:b w:val="0"/>
                <w:i w:val="0"/>
                <w:sz w:val="16"/>
              </w:rPr>
              <w:t>0.699</w:t>
            </w:r>
          </w:p>
        </w:tc>
        <w:tc>
          <w:tcPr>
            <w:tcW w:type="dxa" w:w="1170"/>
          </w:tcPr>
          <w:p>
            <w:pPr>
              <w:spacing w:after="0" w:before="0" w:line="240" w:lineRule="auto"/>
              <w:ind w:firstLine="0"/>
            </w:pPr>
            <w:r/>
            <w:r>
              <w:rPr>
                <w:rFonts w:ascii="Arial" w:hAnsi="Arial" w:eastAsia="Arial"/>
                <w:b w:val="0"/>
                <w:i w:val="0"/>
                <w:sz w:val="16"/>
              </w:rPr>
              <w:t>0.644</w:t>
            </w:r>
          </w:p>
        </w:tc>
        <w:tc>
          <w:tcPr>
            <w:tcW w:type="dxa" w:w="1170"/>
          </w:tcPr>
          <w:p>
            <w:pPr>
              <w:spacing w:after="0" w:before="0" w:line="240" w:lineRule="auto"/>
              <w:ind w:firstLine="0"/>
            </w:pPr>
            <w:r/>
            <w:r>
              <w:rPr>
                <w:rFonts w:ascii="Arial" w:hAnsi="Arial" w:eastAsia="Arial"/>
                <w:b w:val="0"/>
                <w:i w:val="0"/>
                <w:sz w:val="16"/>
              </w:rPr>
              <w:t>193.3</w:t>
            </w:r>
          </w:p>
        </w:tc>
        <w:tc>
          <w:tcPr>
            <w:tcW w:type="dxa" w:w="1170"/>
          </w:tcPr>
          <w:p>
            <w:pPr>
              <w:spacing w:after="0" w:before="0" w:line="240" w:lineRule="auto"/>
              <w:ind w:firstLine="0"/>
            </w:pPr>
            <w:r/>
            <w:r>
              <w:rPr>
                <w:rFonts w:ascii="Arial" w:hAnsi="Arial" w:eastAsia="Arial"/>
                <w:b w:val="0"/>
                <w:i w:val="0"/>
                <w:sz w:val="16"/>
              </w:rPr>
              <w:t>2.7</w:t>
            </w:r>
          </w:p>
        </w:tc>
        <w:tc>
          <w:tcPr>
            <w:tcW w:type="dxa" w:w="1170"/>
          </w:tcPr>
          <w:p>
            <w:pPr>
              <w:spacing w:after="0" w:before="0" w:line="240" w:lineRule="auto"/>
              <w:ind w:firstLine="0"/>
            </w:pPr>
            <w:r/>
            <w:r>
              <w:rPr>
                <w:rFonts w:ascii="Arial" w:hAnsi="Arial" w:eastAsia="Arial"/>
                <w:b w:val="0"/>
                <w:i w:val="0"/>
                <w:sz w:val="16"/>
              </w:rPr>
              <w:t>WCAC −0.52 (0.68)</w:t>
            </w:r>
          </w:p>
        </w:tc>
        <w:tc>
          <w:tcPr>
            <w:tcW w:type="dxa" w:w="1170"/>
          </w:tcPr>
          <w:p>
            <w:pPr>
              <w:spacing w:after="0" w:before="0" w:line="240" w:lineRule="auto"/>
              <w:ind w:firstLine="0"/>
            </w:pPr>
            <w:r/>
            <w:r>
              <w:rPr>
                <w:rFonts w:ascii="Arial" w:hAnsi="Arial" w:eastAsia="Arial"/>
                <w:b w:val="0"/>
                <w:i w:val="0"/>
                <w:sz w:val="16"/>
              </w:rPr>
              <w:t>−1.85, 0.81</w:t>
            </w:r>
          </w:p>
        </w:tc>
      </w:tr>
    </w:tbl>
    <w:p>
      <w:pPr>
        <w:spacing w:after="160" w:before="0" w:line="240" w:lineRule="auto"/>
        <w:ind w:firstLine="0"/>
      </w:pPr>
    </w:p>
    <w:p>
      <w:pPr>
        <w:spacing w:after="80" w:before="0" w:line="240" w:lineRule="auto"/>
        <w:ind w:firstLine="0"/>
        <w:jc w:val="center"/>
      </w:pPr>
      <w:r>
        <w:drawing>
          <wp:inline xmlns:a="http://schemas.openxmlformats.org/drawingml/2006/main" xmlns:pic="http://schemas.openxmlformats.org/drawingml/2006/picture">
            <wp:extent cx="5029200" cy="3461871"/>
            <wp:docPr id="2" name="Picture 2"/>
            <wp:cNvGraphicFramePr>
              <a:graphicFrameLocks noChangeAspect="1"/>
            </wp:cNvGraphicFramePr>
            <a:graphic>
              <a:graphicData uri="http://schemas.openxmlformats.org/drawingml/2006/picture">
                <pic:pic>
                  <pic:nvPicPr>
                    <pic:cNvPr id="0" name="figure2_pack_gap.jpg"/>
                    <pic:cNvPicPr/>
                  </pic:nvPicPr>
                  <pic:blipFill>
                    <a:blip r:embed="rId10"/>
                    <a:stretch>
                      <a:fillRect/>
                    </a:stretch>
                  </pic:blipFill>
                  <pic:spPr>
                    <a:xfrm>
                      <a:off x="0" y="0"/>
                      <a:ext cx="5029200" cy="3461871"/>
                    </a:xfrm>
                    <a:prstGeom prst="rect"/>
                  </pic:spPr>
                </pic:pic>
              </a:graphicData>
            </a:graphic>
          </wp:inline>
        </w:drawing>
      </w:r>
    </w:p>
    <w:p>
      <w:pPr>
        <w:spacing w:after="160" w:before="0" w:line="240" w:lineRule="auto"/>
        <w:ind w:firstLine="0"/>
      </w:pPr>
      <w:r>
        <w:rPr>
          <w:rFonts w:ascii="Arial" w:hAnsi="Arial" w:eastAsia="Arial"/>
          <w:b w:val="0"/>
          <w:i w:val="0"/>
          <w:sz w:val="22"/>
        </w:rPr>
        <w:t>Figure 2. Last year’s pack gap versus next year’s team place in the fit sample, with an OLS line and 95% mean confidence band. Lower place is better. This graph was created using Python 3 (matplotlib 3).|13|</w:t>
      </w:r>
    </w:p>
    <w:p>
      <w:pPr>
        <w:spacing w:after="80" w:before="0" w:line="240" w:lineRule="auto"/>
        <w:ind w:firstLine="0"/>
        <w:jc w:val="center"/>
      </w:pPr>
      <w:r>
        <w:drawing>
          <wp:inline xmlns:a="http://schemas.openxmlformats.org/drawingml/2006/main" xmlns:pic="http://schemas.openxmlformats.org/drawingml/2006/picture">
            <wp:extent cx="6217920" cy="3246163"/>
            <wp:docPr id="3" name="Picture 3"/>
            <wp:cNvGraphicFramePr>
              <a:graphicFrameLocks noChangeAspect="1"/>
            </wp:cNvGraphicFramePr>
            <a:graphic>
              <a:graphicData uri="http://schemas.openxmlformats.org/drawingml/2006/picture">
                <pic:pic>
                  <pic:nvPicPr>
                    <pic:cNvPr id="0" name="figure3_star_depth.jpg"/>
                    <pic:cNvPicPr/>
                  </pic:nvPicPr>
                  <pic:blipFill>
                    <a:blip r:embed="rId11"/>
                    <a:stretch>
                      <a:fillRect/>
                    </a:stretch>
                  </pic:blipFill>
                  <pic:spPr>
                    <a:xfrm>
                      <a:off x="0" y="0"/>
                      <a:ext cx="6217920" cy="3246163"/>
                    </a:xfrm>
                    <a:prstGeom prst="rect"/>
                  </pic:spPr>
                </pic:pic>
              </a:graphicData>
            </a:graphic>
          </wp:inline>
        </w:drawing>
      </w:r>
    </w:p>
    <w:p>
      <w:pPr>
        <w:spacing w:after="160" w:before="0" w:line="240" w:lineRule="auto"/>
        <w:ind w:firstLine="0"/>
      </w:pPr>
      <w:r>
        <w:rPr>
          <w:rFonts w:ascii="Arial" w:hAnsi="Arial" w:eastAsia="Arial"/>
          <w:b w:val="0"/>
          <w:i w:val="0"/>
          <w:sz w:val="22"/>
        </w:rPr>
        <w:t>Figure 3. Last year’s first-runner z (left) and fifth-runner z (right) versus next year’s team place. Panels share axes. Lower z is faster relative to that year’s field. This graph was created using Python 3 (matplotlib 3).|13|</w:t>
      </w:r>
    </w:p>
    <w:p>
      <w:pPr>
        <w:spacing w:after="160" w:before="120" w:line="240" w:lineRule="auto"/>
        <w:ind w:firstLine="0"/>
      </w:pPr>
      <w:r>
        <w:rPr>
          <w:rFonts w:ascii="Arial" w:hAnsi="Arial" w:eastAsia="Arial"/>
          <w:b/>
          <w:i/>
          <w:sz w:val="24"/>
        </w:rPr>
        <w:t>Holdout and Sensitivity</w:t>
      </w:r>
    </w:p>
    <w:p>
      <w:pPr>
        <w:spacing w:after="160" w:before="0" w:line="240" w:lineRule="auto"/>
        <w:ind w:firstLine="0"/>
      </w:pPr>
      <w:r>
        <w:rPr>
          <w:rFonts w:ascii="Arial" w:hAnsi="Arial" w:eastAsia="Arial"/>
          <w:b w:val="0"/>
          <w:i w:val="0"/>
          <w:sz w:val="20"/>
        </w:rPr>
        <w:t>On 12 scoring teams in 2025, the fifth-runner model had RMSE = 3.51 and Spearman ρ = 0.87 (Figure 4). The controls model had RMSE = 3.08 and ρ = 0.68. Pack gap had the lowest holdout RMSE (2.53) but a lower rank correlation (ρ = 0.76) than fifth-runner z (Table 3). The fifth-runner model ranked the teams closer to the official order, but the typical place error was not better than enrollment and sector except for pack gap.</w:t>
      </w:r>
    </w:p>
    <w:p>
      <w:pPr>
        <w:spacing w:after="160" w:before="0" w:line="240" w:lineRule="auto"/>
        <w:ind w:firstLine="0"/>
      </w:pPr>
      <w:r>
        <w:rPr>
          <w:rFonts w:ascii="Arial" w:hAnsi="Arial" w:eastAsia="Arial"/>
          <w:b w:val="0"/>
          <w:i w:val="0"/>
          <w:sz w:val="22"/>
        </w:rPr>
        <w:t>Table 3. 2025 temporal holdout (n = 12). RMSE and MAE are in team places. Metrics were computed in Python 3 using pandas and NumPy.|10,11|</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B365D" w:val="clear"/>
          </w:tcPr>
          <w:p>
            <w:pPr>
              <w:spacing w:after="0" w:before="0" w:line="240" w:lineRule="auto"/>
              <w:ind w:firstLine="0"/>
            </w:pPr>
            <w:r/>
            <w:r>
              <w:rPr>
                <w:rFonts w:ascii="Arial" w:hAnsi="Arial" w:eastAsia="Arial"/>
                <w:b/>
                <w:i w:val="0"/>
                <w:color w:val="FFFFFF"/>
                <w:sz w:val="18"/>
              </w:rPr>
              <w:t>Model</w:t>
            </w:r>
          </w:p>
        </w:tc>
        <w:tc>
          <w:tcPr>
            <w:tcW w:type="dxa" w:w="2340"/>
            <w:shd w:fill="1B365D" w:val="clear"/>
          </w:tcPr>
          <w:p>
            <w:pPr>
              <w:spacing w:after="0" w:before="0" w:line="240" w:lineRule="auto"/>
              <w:ind w:firstLine="0"/>
            </w:pPr>
            <w:r/>
            <w:r>
              <w:rPr>
                <w:rFonts w:ascii="Arial" w:hAnsi="Arial" w:eastAsia="Arial"/>
                <w:b/>
                <w:i w:val="0"/>
                <w:color w:val="FFFFFF"/>
                <w:sz w:val="18"/>
              </w:rPr>
              <w:t>Holdout RMSE</w:t>
            </w:r>
          </w:p>
        </w:tc>
        <w:tc>
          <w:tcPr>
            <w:tcW w:type="dxa" w:w="2340"/>
            <w:shd w:fill="1B365D" w:val="clear"/>
          </w:tcPr>
          <w:p>
            <w:pPr>
              <w:spacing w:after="0" w:before="0" w:line="240" w:lineRule="auto"/>
              <w:ind w:firstLine="0"/>
            </w:pPr>
            <w:r/>
            <w:r>
              <w:rPr>
                <w:rFonts w:ascii="Arial" w:hAnsi="Arial" w:eastAsia="Arial"/>
                <w:b/>
                <w:i w:val="0"/>
                <w:color w:val="FFFFFF"/>
                <w:sz w:val="18"/>
              </w:rPr>
              <w:t>Holdout MAE</w:t>
            </w:r>
          </w:p>
        </w:tc>
        <w:tc>
          <w:tcPr>
            <w:tcW w:type="dxa" w:w="2340"/>
            <w:shd w:fill="1B365D" w:val="clear"/>
          </w:tcPr>
          <w:p>
            <w:pPr>
              <w:spacing w:after="0" w:before="0" w:line="240" w:lineRule="auto"/>
              <w:ind w:firstLine="0"/>
            </w:pPr>
            <w:r/>
            <w:r>
              <w:rPr>
                <w:rFonts w:ascii="Arial" w:hAnsi="Arial" w:eastAsia="Arial"/>
                <w:b/>
                <w:i w:val="0"/>
                <w:color w:val="FFFFFF"/>
                <w:sz w:val="18"/>
              </w:rPr>
              <w:t>Spearman ρ</w:t>
            </w:r>
          </w:p>
        </w:tc>
      </w:tr>
      <w:tr>
        <w:tc>
          <w:tcPr>
            <w:tcW w:type="dxa" w:w="2340"/>
          </w:tcPr>
          <w:p>
            <w:pPr>
              <w:spacing w:after="0" w:before="0" w:line="240" w:lineRule="auto"/>
              <w:ind w:firstLine="0"/>
            </w:pPr>
            <w:r/>
            <w:r>
              <w:rPr>
                <w:rFonts w:ascii="Arial" w:hAnsi="Arial" w:eastAsia="Arial"/>
                <w:b w:val="0"/>
                <w:i w:val="0"/>
                <w:sz w:val="16"/>
              </w:rPr>
              <w:t>Controls (baseline)</w:t>
            </w:r>
          </w:p>
        </w:tc>
        <w:tc>
          <w:tcPr>
            <w:tcW w:type="dxa" w:w="2340"/>
          </w:tcPr>
          <w:p>
            <w:pPr>
              <w:spacing w:after="0" w:before="0" w:line="240" w:lineRule="auto"/>
              <w:ind w:firstLine="0"/>
            </w:pPr>
            <w:r/>
            <w:r>
              <w:rPr>
                <w:rFonts w:ascii="Arial" w:hAnsi="Arial" w:eastAsia="Arial"/>
                <w:b w:val="0"/>
                <w:i w:val="0"/>
                <w:sz w:val="16"/>
              </w:rPr>
              <w:t>3.08</w:t>
            </w:r>
          </w:p>
        </w:tc>
        <w:tc>
          <w:tcPr>
            <w:tcW w:type="dxa" w:w="2340"/>
          </w:tcPr>
          <w:p>
            <w:pPr>
              <w:spacing w:after="0" w:before="0" w:line="240" w:lineRule="auto"/>
              <w:ind w:firstLine="0"/>
            </w:pPr>
            <w:r/>
            <w:r>
              <w:rPr>
                <w:rFonts w:ascii="Arial" w:hAnsi="Arial" w:eastAsia="Arial"/>
                <w:b w:val="0"/>
                <w:i w:val="0"/>
                <w:sz w:val="16"/>
              </w:rPr>
              <w:t>2.56</w:t>
            </w:r>
          </w:p>
        </w:tc>
        <w:tc>
          <w:tcPr>
            <w:tcW w:type="dxa" w:w="2340"/>
          </w:tcPr>
          <w:p>
            <w:pPr>
              <w:spacing w:after="0" w:before="0" w:line="240" w:lineRule="auto"/>
              <w:ind w:firstLine="0"/>
            </w:pPr>
            <w:r/>
            <w:r>
              <w:rPr>
                <w:rFonts w:ascii="Arial" w:hAnsi="Arial" w:eastAsia="Arial"/>
                <w:b w:val="0"/>
                <w:i w:val="0"/>
                <w:sz w:val="16"/>
              </w:rPr>
              <w:t>0.68</w:t>
            </w:r>
          </w:p>
        </w:tc>
      </w:tr>
      <w:tr>
        <w:tc>
          <w:tcPr>
            <w:tcW w:type="dxa" w:w="2340"/>
          </w:tcPr>
          <w:p>
            <w:pPr>
              <w:spacing w:after="0" w:before="0" w:line="240" w:lineRule="auto"/>
              <w:ind w:firstLine="0"/>
            </w:pPr>
            <w:r/>
            <w:r>
              <w:rPr>
                <w:rFonts w:ascii="Arial" w:hAnsi="Arial" w:eastAsia="Arial"/>
                <w:b w:val="0"/>
                <w:i w:val="0"/>
                <w:sz w:val="16"/>
              </w:rPr>
              <w:t>First-runner z</w:t>
            </w:r>
          </w:p>
        </w:tc>
        <w:tc>
          <w:tcPr>
            <w:tcW w:type="dxa" w:w="2340"/>
          </w:tcPr>
          <w:p>
            <w:pPr>
              <w:spacing w:after="0" w:before="0" w:line="240" w:lineRule="auto"/>
              <w:ind w:firstLine="0"/>
            </w:pPr>
            <w:r/>
            <w:r>
              <w:rPr>
                <w:rFonts w:ascii="Arial" w:hAnsi="Arial" w:eastAsia="Arial"/>
                <w:b w:val="0"/>
                <w:i w:val="0"/>
                <w:sz w:val="16"/>
              </w:rPr>
              <w:t>3.33</w:t>
            </w:r>
          </w:p>
        </w:tc>
        <w:tc>
          <w:tcPr>
            <w:tcW w:type="dxa" w:w="2340"/>
          </w:tcPr>
          <w:p>
            <w:pPr>
              <w:spacing w:after="0" w:before="0" w:line="240" w:lineRule="auto"/>
              <w:ind w:firstLine="0"/>
            </w:pPr>
            <w:r/>
            <w:r>
              <w:rPr>
                <w:rFonts w:ascii="Arial" w:hAnsi="Arial" w:eastAsia="Arial"/>
                <w:b w:val="0"/>
                <w:i w:val="0"/>
                <w:sz w:val="16"/>
              </w:rPr>
              <w:t>2.43</w:t>
            </w:r>
          </w:p>
        </w:tc>
        <w:tc>
          <w:tcPr>
            <w:tcW w:type="dxa" w:w="2340"/>
          </w:tcPr>
          <w:p>
            <w:pPr>
              <w:spacing w:after="0" w:before="0" w:line="240" w:lineRule="auto"/>
              <w:ind w:firstLine="0"/>
            </w:pPr>
            <w:r/>
            <w:r>
              <w:rPr>
                <w:rFonts w:ascii="Arial" w:hAnsi="Arial" w:eastAsia="Arial"/>
                <w:b w:val="0"/>
                <w:i w:val="0"/>
                <w:sz w:val="16"/>
              </w:rPr>
              <w:t>0.78</w:t>
            </w:r>
          </w:p>
        </w:tc>
      </w:tr>
      <w:tr>
        <w:tc>
          <w:tcPr>
            <w:tcW w:type="dxa" w:w="2340"/>
          </w:tcPr>
          <w:p>
            <w:pPr>
              <w:spacing w:after="0" w:before="0" w:line="240" w:lineRule="auto"/>
              <w:ind w:firstLine="0"/>
            </w:pPr>
            <w:r/>
            <w:r>
              <w:rPr>
                <w:rFonts w:ascii="Arial" w:hAnsi="Arial" w:eastAsia="Arial"/>
                <w:b w:val="0"/>
                <w:i w:val="0"/>
                <w:sz w:val="16"/>
              </w:rPr>
              <w:t>Pack gap</w:t>
            </w:r>
          </w:p>
        </w:tc>
        <w:tc>
          <w:tcPr>
            <w:tcW w:type="dxa" w:w="2340"/>
          </w:tcPr>
          <w:p>
            <w:pPr>
              <w:spacing w:after="0" w:before="0" w:line="240" w:lineRule="auto"/>
              <w:ind w:firstLine="0"/>
            </w:pPr>
            <w:r/>
            <w:r>
              <w:rPr>
                <w:rFonts w:ascii="Arial" w:hAnsi="Arial" w:eastAsia="Arial"/>
                <w:b w:val="0"/>
                <w:i w:val="0"/>
                <w:sz w:val="16"/>
              </w:rPr>
              <w:t>2.53</w:t>
            </w:r>
          </w:p>
        </w:tc>
        <w:tc>
          <w:tcPr>
            <w:tcW w:type="dxa" w:w="2340"/>
          </w:tcPr>
          <w:p>
            <w:pPr>
              <w:spacing w:after="0" w:before="0" w:line="240" w:lineRule="auto"/>
              <w:ind w:firstLine="0"/>
            </w:pPr>
            <w:r/>
            <w:r>
              <w:rPr>
                <w:rFonts w:ascii="Arial" w:hAnsi="Arial" w:eastAsia="Arial"/>
                <w:b w:val="0"/>
                <w:i w:val="0"/>
                <w:sz w:val="16"/>
              </w:rPr>
              <w:t>2.02</w:t>
            </w:r>
          </w:p>
        </w:tc>
        <w:tc>
          <w:tcPr>
            <w:tcW w:type="dxa" w:w="2340"/>
          </w:tcPr>
          <w:p>
            <w:pPr>
              <w:spacing w:after="0" w:before="0" w:line="240" w:lineRule="auto"/>
              <w:ind w:firstLine="0"/>
            </w:pPr>
            <w:r/>
            <w:r>
              <w:rPr>
                <w:rFonts w:ascii="Arial" w:hAnsi="Arial" w:eastAsia="Arial"/>
                <w:b w:val="0"/>
                <w:i w:val="0"/>
                <w:sz w:val="16"/>
              </w:rPr>
              <w:t>0.76</w:t>
            </w:r>
          </w:p>
        </w:tc>
      </w:tr>
      <w:tr>
        <w:tc>
          <w:tcPr>
            <w:tcW w:type="dxa" w:w="2340"/>
          </w:tcPr>
          <w:p>
            <w:pPr>
              <w:spacing w:after="0" w:before="0" w:line="240" w:lineRule="auto"/>
              <w:ind w:firstLine="0"/>
            </w:pPr>
            <w:r/>
            <w:r>
              <w:rPr>
                <w:rFonts w:ascii="Arial" w:hAnsi="Arial" w:eastAsia="Arial"/>
                <w:b w:val="0"/>
                <w:i w:val="0"/>
                <w:sz w:val="16"/>
              </w:rPr>
              <w:t>Fifth-runner z</w:t>
            </w:r>
          </w:p>
        </w:tc>
        <w:tc>
          <w:tcPr>
            <w:tcW w:type="dxa" w:w="2340"/>
          </w:tcPr>
          <w:p>
            <w:pPr>
              <w:spacing w:after="0" w:before="0" w:line="240" w:lineRule="auto"/>
              <w:ind w:firstLine="0"/>
            </w:pPr>
            <w:r/>
            <w:r>
              <w:rPr>
                <w:rFonts w:ascii="Arial" w:hAnsi="Arial" w:eastAsia="Arial"/>
                <w:b w:val="0"/>
                <w:i w:val="0"/>
                <w:sz w:val="16"/>
              </w:rPr>
              <w:t>3.51</w:t>
            </w:r>
          </w:p>
        </w:tc>
        <w:tc>
          <w:tcPr>
            <w:tcW w:type="dxa" w:w="2340"/>
          </w:tcPr>
          <w:p>
            <w:pPr>
              <w:spacing w:after="0" w:before="0" w:line="240" w:lineRule="auto"/>
              <w:ind w:firstLine="0"/>
            </w:pPr>
            <w:r/>
            <w:r>
              <w:rPr>
                <w:rFonts w:ascii="Arial" w:hAnsi="Arial" w:eastAsia="Arial"/>
                <w:b w:val="0"/>
                <w:i w:val="0"/>
                <w:sz w:val="16"/>
              </w:rPr>
              <w:t>3.02</w:t>
            </w:r>
          </w:p>
        </w:tc>
        <w:tc>
          <w:tcPr>
            <w:tcW w:type="dxa" w:w="2340"/>
          </w:tcPr>
          <w:p>
            <w:pPr>
              <w:spacing w:after="0" w:before="0" w:line="240" w:lineRule="auto"/>
              <w:ind w:firstLine="0"/>
            </w:pPr>
            <w:r/>
            <w:r>
              <w:rPr>
                <w:rFonts w:ascii="Arial" w:hAnsi="Arial" w:eastAsia="Arial"/>
                <w:b w:val="0"/>
                <w:i w:val="0"/>
                <w:sz w:val="16"/>
              </w:rPr>
              <w:t>0.87</w:t>
            </w:r>
          </w:p>
        </w:tc>
      </w:tr>
      <w:tr>
        <w:tc>
          <w:tcPr>
            <w:tcW w:type="dxa" w:w="2340"/>
          </w:tcPr>
          <w:p>
            <w:pPr>
              <w:spacing w:after="0" w:before="0" w:line="240" w:lineRule="auto"/>
              <w:ind w:firstLine="0"/>
            </w:pPr>
            <w:r/>
            <w:r>
              <w:rPr>
                <w:rFonts w:ascii="Arial" w:hAnsi="Arial" w:eastAsia="Arial"/>
                <w:b w:val="0"/>
                <w:i w:val="0"/>
                <w:sz w:val="16"/>
              </w:rPr>
              <w:t>Both z-scores</w:t>
            </w:r>
          </w:p>
        </w:tc>
        <w:tc>
          <w:tcPr>
            <w:tcW w:type="dxa" w:w="2340"/>
          </w:tcPr>
          <w:p>
            <w:pPr>
              <w:spacing w:after="0" w:before="0" w:line="240" w:lineRule="auto"/>
              <w:ind w:firstLine="0"/>
            </w:pPr>
            <w:r/>
            <w:r>
              <w:rPr>
                <w:rFonts w:ascii="Arial" w:hAnsi="Arial" w:eastAsia="Arial"/>
                <w:b w:val="0"/>
                <w:i w:val="0"/>
                <w:sz w:val="16"/>
              </w:rPr>
              <w:t>3.73</w:t>
            </w:r>
          </w:p>
        </w:tc>
        <w:tc>
          <w:tcPr>
            <w:tcW w:type="dxa" w:w="2340"/>
          </w:tcPr>
          <w:p>
            <w:pPr>
              <w:spacing w:after="0" w:before="0" w:line="240" w:lineRule="auto"/>
              <w:ind w:firstLine="0"/>
            </w:pPr>
            <w:r/>
            <w:r>
              <w:rPr>
                <w:rFonts w:ascii="Arial" w:hAnsi="Arial" w:eastAsia="Arial"/>
                <w:b w:val="0"/>
                <w:i w:val="0"/>
                <w:sz w:val="16"/>
              </w:rPr>
              <w:t>3.23</w:t>
            </w:r>
          </w:p>
        </w:tc>
        <w:tc>
          <w:tcPr>
            <w:tcW w:type="dxa" w:w="2340"/>
          </w:tcPr>
          <w:p>
            <w:pPr>
              <w:spacing w:after="0" w:before="0" w:line="240" w:lineRule="auto"/>
              <w:ind w:firstLine="0"/>
            </w:pPr>
            <w:r/>
            <w:r>
              <w:rPr>
                <w:rFonts w:ascii="Arial" w:hAnsi="Arial" w:eastAsia="Arial"/>
                <w:b w:val="0"/>
                <w:i w:val="0"/>
                <w:sz w:val="16"/>
              </w:rPr>
              <w:t>0.87</w:t>
            </w:r>
          </w:p>
        </w:tc>
      </w:tr>
      <w:tr>
        <w:tc>
          <w:tcPr>
            <w:tcW w:type="dxa" w:w="2340"/>
          </w:tcPr>
          <w:p>
            <w:pPr>
              <w:spacing w:after="0" w:before="0" w:line="240" w:lineRule="auto"/>
              <w:ind w:firstLine="0"/>
            </w:pPr>
            <w:r/>
            <w:r>
              <w:rPr>
                <w:rFonts w:ascii="Arial" w:hAnsi="Arial" w:eastAsia="Arial"/>
                <w:b w:val="0"/>
                <w:i w:val="0"/>
                <w:sz w:val="16"/>
              </w:rPr>
              <w:t>+ WCAC</w:t>
            </w:r>
          </w:p>
        </w:tc>
        <w:tc>
          <w:tcPr>
            <w:tcW w:type="dxa" w:w="2340"/>
          </w:tcPr>
          <w:p>
            <w:pPr>
              <w:spacing w:after="0" w:before="0" w:line="240" w:lineRule="auto"/>
              <w:ind w:firstLine="0"/>
            </w:pPr>
            <w:r/>
            <w:r>
              <w:rPr>
                <w:rFonts w:ascii="Arial" w:hAnsi="Arial" w:eastAsia="Arial"/>
                <w:b w:val="0"/>
                <w:i w:val="0"/>
                <w:sz w:val="16"/>
              </w:rPr>
              <w:t>3.73</w:t>
            </w:r>
          </w:p>
        </w:tc>
        <w:tc>
          <w:tcPr>
            <w:tcW w:type="dxa" w:w="2340"/>
          </w:tcPr>
          <w:p>
            <w:pPr>
              <w:spacing w:after="0" w:before="0" w:line="240" w:lineRule="auto"/>
              <w:ind w:firstLine="0"/>
            </w:pPr>
            <w:r/>
            <w:r>
              <w:rPr>
                <w:rFonts w:ascii="Arial" w:hAnsi="Arial" w:eastAsia="Arial"/>
                <w:b w:val="0"/>
                <w:i w:val="0"/>
                <w:sz w:val="16"/>
              </w:rPr>
              <w:t>3.26</w:t>
            </w:r>
          </w:p>
        </w:tc>
        <w:tc>
          <w:tcPr>
            <w:tcW w:type="dxa" w:w="2340"/>
          </w:tcPr>
          <w:p>
            <w:pPr>
              <w:spacing w:after="0" w:before="0" w:line="240" w:lineRule="auto"/>
              <w:ind w:firstLine="0"/>
            </w:pPr>
            <w:r/>
            <w:r>
              <w:rPr>
                <w:rFonts w:ascii="Arial" w:hAnsi="Arial" w:eastAsia="Arial"/>
                <w:b w:val="0"/>
                <w:i w:val="0"/>
                <w:sz w:val="16"/>
              </w:rPr>
              <w:t>0.92</w:t>
            </w:r>
          </w:p>
        </w:tc>
      </w:tr>
    </w:tbl>
    <w:p>
      <w:pPr>
        <w:spacing w:after="160" w:before="0" w:line="240" w:lineRule="auto"/>
        <w:ind w:firstLine="0"/>
      </w:pPr>
    </w:p>
    <w:p>
      <w:pPr>
        <w:spacing w:after="80" w:before="0" w:line="240" w:lineRule="auto"/>
        <w:ind w:firstLine="0"/>
        <w:jc w:val="center"/>
      </w:pPr>
      <w:r>
        <w:drawing>
          <wp:inline xmlns:a="http://schemas.openxmlformats.org/drawingml/2006/main" xmlns:pic="http://schemas.openxmlformats.org/drawingml/2006/picture">
            <wp:extent cx="5029200" cy="4673150"/>
            <wp:docPr id="4" name="Picture 4"/>
            <wp:cNvGraphicFramePr>
              <a:graphicFrameLocks noChangeAspect="1"/>
            </wp:cNvGraphicFramePr>
            <a:graphic>
              <a:graphicData uri="http://schemas.openxmlformats.org/drawingml/2006/picture">
                <pic:pic>
                  <pic:nvPicPr>
                    <pic:cNvPr id="0" name="figure4_holdout.jpg"/>
                    <pic:cNvPicPr/>
                  </pic:nvPicPr>
                  <pic:blipFill>
                    <a:blip r:embed="rId12"/>
                    <a:stretch>
                      <a:fillRect/>
                    </a:stretch>
                  </pic:blipFill>
                  <pic:spPr>
                    <a:xfrm>
                      <a:off x="0" y="0"/>
                      <a:ext cx="5029200" cy="4673150"/>
                    </a:xfrm>
                    <a:prstGeom prst="rect"/>
                  </pic:spPr>
                </pic:pic>
              </a:graphicData>
            </a:graphic>
          </wp:inline>
        </w:drawing>
      </w:r>
    </w:p>
    <w:p>
      <w:pPr>
        <w:spacing w:after="160" w:before="0" w:line="240" w:lineRule="auto"/>
        <w:ind w:firstLine="0"/>
      </w:pPr>
      <w:r>
        <w:rPr>
          <w:rFonts w:ascii="Arial" w:hAnsi="Arial" w:eastAsia="Arial"/>
          <w:b w:val="0"/>
          <w:i w:val="0"/>
          <w:sz w:val="22"/>
        </w:rPr>
        <w:t>Figure 4. Observed versus predicted 2025 team place from the fifth-runner model, with school labels. The dashed line is a perfect numeric match. This graph was created using Python 3 (matplotlib 3).|13|</w:t>
      </w:r>
    </w:p>
    <w:p>
      <w:pPr>
        <w:spacing w:after="160" w:before="0" w:line="240" w:lineRule="auto"/>
        <w:ind w:firstLine="0"/>
      </w:pPr>
      <w:r>
        <w:rPr>
          <w:rFonts w:ascii="Arial" w:hAnsi="Arial" w:eastAsia="Arial"/>
          <w:b w:val="0"/>
          <w:i w:val="0"/>
          <w:sz w:val="20"/>
        </w:rPr>
        <w:t>Leave-one-school-out fifth-runner coefficients ranged from 3.25 to 4.61 (mean 3.84). Leave-one-season-out RMSE was 2.02 (2021), 1.29 (2022), 2.23 (2023), and 3.72 (2024). A permutation test of fifth-runner z gave p = 0.005 for the observed R². Swapping first- and fifth-runner z within teams gave p = 0.29 for the in-sample R² gap, which matches the high correlation (r = 0.84). The WCAC coefficient was not significant (95% CI −1.85 to 0.81).</w:t>
      </w:r>
    </w:p>
    <w:p>
      <w:pPr>
        <w:spacing w:after="160" w:before="0" w:line="240" w:lineRule="auto"/>
        <w:ind w:firstLine="0"/>
      </w:pPr>
      <w:r>
        <w:rPr>
          <w:rFonts w:ascii="Arial" w:hAnsi="Arial" w:eastAsia="Arial"/>
          <w:b w:val="0"/>
          <w:i w:val="0"/>
          <w:sz w:val="20"/>
        </w:rPr>
        <w:t>For the boys sample, last year’s fifth runner added more information about next year’s team place than last year’s first runner. R², AIC, the joint model, and holdout rank correlation all pointed that way. Holdout RMSE did not. In a 12-team race, the order can look better even when the typical error is still a few places. One possible reason, which this study does not prove, is that each of the first five places counts the same, so the fifth scorer may show whether a school can still fill a scoring five the next year.</w:t>
      </w:r>
      <w:r>
        <w:rPr>
          <w:rFonts w:ascii="Arial" w:hAnsi="Arial" w:eastAsia="Arial"/>
          <w:b w:val="0"/>
          <w:i w:val="0"/>
          <w:sz w:val="20"/>
          <w:vertAlign w:val="superscript"/>
        </w:rPr>
        <w:t>1</w:t>
      </w:r>
      <w:r>
        <w:rPr>
          <w:rFonts w:ascii="Arial" w:hAnsi="Arial" w:eastAsia="Arial"/>
          <w:b w:val="0"/>
          <w:i w:val="0"/>
          <w:sz w:val="20"/>
        </w:rPr>
        <w:t xml:space="preserve"> Fifteen schools is a small number of clusters for clustered standard errors.</w:t>
      </w:r>
      <w:r>
        <w:rPr>
          <w:rFonts w:ascii="Arial" w:hAnsi="Arial" w:eastAsia="Arial"/>
          <w:b w:val="0"/>
          <w:i w:val="0"/>
          <w:sz w:val="20"/>
          <w:vertAlign w:val="superscript"/>
        </w:rPr>
        <w:t>8</w:t>
      </w:r>
      <w:r>
        <w:rPr>
          <w:rFonts w:ascii="Arial" w:hAnsi="Arial" w:eastAsia="Arial"/>
          <w:b w:val="0"/>
          <w:i w:val="0"/>
          <w:sz w:val="20"/>
        </w:rPr>
        <w:t xml:space="preserve"> 2025 is only one holdout year.</w:t>
      </w:r>
    </w:p>
    <w:p>
      <w:pPr>
        <w:spacing w:after="160" w:before="120" w:line="240" w:lineRule="auto"/>
        <w:ind w:firstLine="0"/>
      </w:pPr>
      <w:r>
        <w:rPr>
          <w:rFonts w:ascii="Arial" w:hAnsi="Arial" w:eastAsia="Arial"/>
          <w:b/>
          <w:i/>
          <w:sz w:val="24"/>
        </w:rPr>
        <w:t>Limitations</w:t>
      </w:r>
    </w:p>
    <w:p>
      <w:pPr>
        <w:spacing w:after="160" w:before="0" w:line="240" w:lineRule="auto"/>
        <w:ind w:firstLine="0"/>
      </w:pPr>
      <w:r>
        <w:rPr>
          <w:rFonts w:ascii="Arial" w:hAnsi="Arial" w:eastAsia="Arial"/>
          <w:b w:val="0"/>
          <w:i w:val="0"/>
          <w:sz w:val="20"/>
        </w:rPr>
        <w:t>This is one district and one course. Forty team-seasons and 15 schools is a small sample. Enrollment does not change by year. Teams that did not finish five runners drop out of the lag sample. Invitationals were not scored. OLS on place is an approximation. The results are associations, not cause and effect. The same lag setup on girls varsity files (18 team-seasons, no 2025 holdout) did not rank fifth runner above first runner, but that sample is too small to treat as a second study. For boys in this sample, watching the likely fifth scorer may help a forecast more than watching only the fastest runner, but 2025 RMSE was better for pack gap and for controls than for the fifth-runner-only model.</w:t>
      </w:r>
    </w:p>
    <w:p>
      <w:pPr>
        <w:spacing w:after="160" w:before="160" w:line="240" w:lineRule="auto"/>
        <w:ind w:firstLine="0"/>
      </w:pPr>
      <w:r>
        <w:rPr>
          <w:rFonts w:ascii="Arial" w:hAnsi="Arial" w:eastAsia="Arial"/>
          <w:b/>
          <w:i w:val="0"/>
          <w:sz w:val="28"/>
        </w:rPr>
        <w:t>Conclusion</w:t>
      </w:r>
    </w:p>
    <w:p>
      <w:pPr>
        <w:spacing w:after="160" w:before="0" w:line="240" w:lineRule="auto"/>
        <w:ind w:firstLine="0"/>
      </w:pPr>
      <w:r>
        <w:rPr>
          <w:rFonts w:ascii="Arial" w:hAnsi="Arial" w:eastAsia="Arial"/>
          <w:b w:val="0"/>
          <w:i w:val="0"/>
          <w:sz w:val="20"/>
        </w:rPr>
        <w:t>In this DCSAA boys sample, last year’s fifth-runner z-score predicted next year’s team place better in-sample than last year’s first-runner z-score. Leave-one-school-out RMSE was 2.80 places. A frozen fifth-runner model ranked the 2025 teams with Spearman ρ = 0.87. RMSE was about 3.5 places and did not beat the controls model. Pack gap had the lowest holdout RMSE. More districts would be needed before using pack depth as a general forecasting tool.</w:t>
      </w:r>
    </w:p>
    <w:p>
      <w:pPr>
        <w:spacing w:after="160" w:before="160" w:line="240" w:lineRule="auto"/>
        <w:ind w:firstLine="0"/>
      </w:pPr>
      <w:r>
        <w:rPr>
          <w:rFonts w:ascii="Arial" w:hAnsi="Arial" w:eastAsia="Arial"/>
          <w:b/>
          <w:i w:val="0"/>
          <w:sz w:val="28"/>
        </w:rPr>
        <w:t>AI Acknowledgement</w:t>
      </w:r>
    </w:p>
    <w:p>
      <w:pPr>
        <w:spacing w:after="160" w:before="0" w:line="240" w:lineRule="auto"/>
        <w:ind w:firstLine="0"/>
      </w:pPr>
      <w:r>
        <w:rPr>
          <w:rFonts w:ascii="Arial" w:hAnsi="Arial" w:eastAsia="Arial"/>
          <w:b w:val="0"/>
          <w:i w:val="0"/>
          <w:sz w:val="20"/>
        </w:rPr>
        <w:t>During the preparation of this work, the author used Cursor to help organize Python code for parsing results, fitting models, making figures, and formatting the Word file. After using this tool, the author chose the research question and the models, checked the output, and edited the text. The author takes full responsibility for the paper. No AI tool was used to invent data, citations, or conclusions. Figures were made in Python (matplotlib) and are not AI-generated images.</w:t>
      </w:r>
    </w:p>
    <w:p>
      <w:pPr>
        <w:spacing w:after="160" w:before="160" w:line="240" w:lineRule="auto"/>
        <w:ind w:firstLine="0"/>
      </w:pPr>
      <w:r>
        <w:rPr>
          <w:rFonts w:ascii="Arial" w:hAnsi="Arial" w:eastAsia="Arial"/>
          <w:b/>
          <w:i w:val="0"/>
          <w:sz w:val="28"/>
        </w:rPr>
        <w:t>Acknowledgements</w:t>
      </w:r>
    </w:p>
    <w:p>
      <w:pPr>
        <w:spacing w:after="160" w:before="0" w:line="240" w:lineRule="auto"/>
        <w:ind w:firstLine="0"/>
      </w:pPr>
      <w:r>
        <w:rPr>
          <w:rFonts w:ascii="Arial" w:hAnsi="Arial" w:eastAsia="Arial"/>
          <w:b w:val="0"/>
          <w:i w:val="0"/>
          <w:sz w:val="20"/>
        </w:rPr>
        <w:t>Public championship listings from DCSAA, MileSplit, and M&amp;D Timing were used. No external funding was received. [Mentor Name] provided guidance on the publication process.</w:t>
      </w:r>
    </w:p>
    <w:p>
      <w:pPr>
        <w:spacing w:after="160" w:before="160" w:line="240" w:lineRule="auto"/>
        <w:ind w:firstLine="0"/>
      </w:pPr>
      <w:r>
        <w:rPr>
          <w:rFonts w:ascii="Arial" w:hAnsi="Arial" w:eastAsia="Arial"/>
          <w:b/>
          <w:i w:val="0"/>
          <w:sz w:val="28"/>
        </w:rPr>
        <w:t>References</w:t>
      </w:r>
    </w:p>
    <w:p>
      <w:pPr>
        <w:spacing w:after="80" w:before="0" w:line="240" w:lineRule="auto"/>
        <w:ind w:firstLine="0"/>
      </w:pPr>
      <w:r>
        <w:rPr>
          <w:rFonts w:ascii="Arial" w:hAnsi="Arial" w:eastAsia="Arial"/>
          <w:b w:val="0"/>
          <w:i w:val="0"/>
          <w:sz w:val="20"/>
        </w:rPr>
        <w:t>1. National Federation of State High School Associations. 2025–26 NFHS Track and Field and Cross Country Rules Book; NFHS: Indianapolis, IN, 2025.</w:t>
      </w:r>
    </w:p>
    <w:p>
      <w:pPr>
        <w:spacing w:after="80" w:before="0" w:line="240" w:lineRule="auto"/>
        <w:ind w:firstLine="0"/>
      </w:pPr>
      <w:r>
        <w:rPr>
          <w:rFonts w:ascii="Arial" w:hAnsi="Arial" w:eastAsia="Arial"/>
          <w:b w:val="0"/>
          <w:i w:val="0"/>
          <w:sz w:val="20"/>
        </w:rPr>
        <w:t>2. Stefani, R. T. Improved least squares football, basketball, and soccer ratings. IEEE Trans. Syst. Man Cybern. 1980, 10, 116–123. DOI: 10.1109/TSMC.1980.4308442</w:t>
      </w:r>
    </w:p>
    <w:p>
      <w:pPr>
        <w:spacing w:after="80" w:before="0" w:line="240" w:lineRule="auto"/>
        <w:ind w:firstLine="0"/>
      </w:pPr>
      <w:r>
        <w:rPr>
          <w:rFonts w:ascii="Arial" w:hAnsi="Arial" w:eastAsia="Arial"/>
          <w:b w:val="0"/>
          <w:i w:val="0"/>
          <w:sz w:val="20"/>
        </w:rPr>
        <w:t>3. Harville, D. A.; Smith, M. H. The home-court advantage: How large is it, and does it vary from team to team? Am. Stat. 1994, 48, 22–28. DOI: 10.1080/00031305.1994.10476013</w:t>
      </w:r>
    </w:p>
    <w:p>
      <w:pPr>
        <w:spacing w:after="80" w:before="0" w:line="240" w:lineRule="auto"/>
        <w:ind w:firstLine="0"/>
      </w:pPr>
      <w:r>
        <w:rPr>
          <w:rFonts w:ascii="Arial" w:hAnsi="Arial" w:eastAsia="Arial"/>
          <w:b w:val="0"/>
          <w:i w:val="0"/>
          <w:sz w:val="20"/>
        </w:rPr>
        <w:t>4. Kvam, P.; Sokol, J. S. A logistic regression/Markov chain model for NCAA basketball. Nav. Res. Logist. 2006, 53, 788–803. DOI: 10.1002/nav.20165</w:t>
      </w:r>
    </w:p>
    <w:p>
      <w:pPr>
        <w:spacing w:after="80" w:before="0" w:line="240" w:lineRule="auto"/>
        <w:ind w:firstLine="0"/>
      </w:pPr>
      <w:r>
        <w:rPr>
          <w:rFonts w:ascii="Arial" w:hAnsi="Arial" w:eastAsia="Arial"/>
          <w:b w:val="0"/>
          <w:i w:val="0"/>
          <w:sz w:val="20"/>
        </w:rPr>
        <w:t>5. Pasteur, R. D.; Janning, M. C. Monte Carlo simulation for high school football playoff seed projection. J. Quant. Anal. Sports 2011, 7 (2), 11. DOI: 10.2202/1559-0410.1330</w:t>
      </w:r>
    </w:p>
    <w:p>
      <w:pPr>
        <w:spacing w:after="80" w:before="0" w:line="240" w:lineRule="auto"/>
        <w:ind w:firstLine="0"/>
      </w:pPr>
      <w:r>
        <w:rPr>
          <w:rFonts w:ascii="Arial" w:hAnsi="Arial" w:eastAsia="Arial"/>
          <w:b w:val="0"/>
          <w:i w:val="0"/>
          <w:sz w:val="20"/>
        </w:rPr>
        <w:t>6. Johnson, J. E.; Manwell, A. K.; Scott, B. F. An examination of competitive balance within interscholastic football. J. Amateur Sport 2019, 5 (1), 21–49. DOI: 10.17161/jas.v5i1.6708</w:t>
      </w:r>
    </w:p>
    <w:p>
      <w:pPr>
        <w:spacing w:after="80" w:before="0" w:line="240" w:lineRule="auto"/>
        <w:ind w:firstLine="0"/>
      </w:pPr>
      <w:r>
        <w:rPr>
          <w:rFonts w:ascii="Arial" w:hAnsi="Arial" w:eastAsia="Arial"/>
          <w:b w:val="0"/>
          <w:i w:val="0"/>
          <w:sz w:val="20"/>
        </w:rPr>
        <w:t>7. District of Columbia State Athletic Association. 2025 Cross Country Bulletin. https://www.dcsaasports.com/boys-cross-country/ (accessed 2026-08-15).</w:t>
      </w:r>
    </w:p>
    <w:p>
      <w:pPr>
        <w:spacing w:after="80" w:before="0" w:line="240" w:lineRule="auto"/>
        <w:ind w:firstLine="0"/>
      </w:pPr>
      <w:r>
        <w:rPr>
          <w:rFonts w:ascii="Arial" w:hAnsi="Arial" w:eastAsia="Arial"/>
          <w:b w:val="0"/>
          <w:i w:val="0"/>
          <w:sz w:val="20"/>
        </w:rPr>
        <w:t>8. Cameron, A. C.; Miller, D. L. A practitioner’s guide to cluster-robust inference. J. Hum. Resour. 2015, 50, 317–372. DOI: 10.3368/jhr.50.2.317</w:t>
      </w:r>
    </w:p>
    <w:p>
      <w:pPr>
        <w:spacing w:after="80" w:before="0" w:line="240" w:lineRule="auto"/>
        <w:ind w:firstLine="0"/>
      </w:pPr>
      <w:r>
        <w:rPr>
          <w:rFonts w:ascii="Arial" w:hAnsi="Arial" w:eastAsia="Arial"/>
          <w:b w:val="0"/>
          <w:i w:val="0"/>
          <w:sz w:val="20"/>
        </w:rPr>
        <w:t>9. MileSplit. DCSAA Cross Country Championships results index. https://dc.milesplit.com/ (accessed 2026-08-15).</w:t>
      </w:r>
    </w:p>
    <w:p>
      <w:pPr>
        <w:spacing w:after="80" w:before="0" w:line="240" w:lineRule="auto"/>
        <w:ind w:firstLine="0"/>
      </w:pPr>
      <w:r>
        <w:rPr>
          <w:rFonts w:ascii="Arial" w:hAnsi="Arial" w:eastAsia="Arial"/>
          <w:b w:val="0"/>
          <w:i w:val="0"/>
          <w:sz w:val="20"/>
        </w:rPr>
        <w:t>10. Van Rossum, G.; Drake, F. L. Python 3 Reference Manual; Python Software Foundation: Wilmington, DE. https://www.python.org/ (accessed 2026-08-15).</w:t>
      </w:r>
    </w:p>
    <w:p>
      <w:pPr>
        <w:spacing w:after="80" w:before="0" w:line="240" w:lineRule="auto"/>
        <w:ind w:firstLine="0"/>
      </w:pPr>
      <w:r>
        <w:rPr>
          <w:rFonts w:ascii="Arial" w:hAnsi="Arial" w:eastAsia="Arial"/>
          <w:b w:val="0"/>
          <w:i w:val="0"/>
          <w:sz w:val="20"/>
        </w:rPr>
        <w:t>11. McKinney, W. Data structures for statistical computing in Python. Proc. 9th Python Sci. Conf. 2010, 56–61. DOI: 10.25080/Majora-92bf1922-00a</w:t>
      </w:r>
    </w:p>
    <w:p>
      <w:pPr>
        <w:spacing w:after="80" w:before="0" w:line="240" w:lineRule="auto"/>
        <w:ind w:firstLine="0"/>
      </w:pPr>
      <w:r>
        <w:rPr>
          <w:rFonts w:ascii="Arial" w:hAnsi="Arial" w:eastAsia="Arial"/>
          <w:b w:val="0"/>
          <w:i w:val="0"/>
          <w:sz w:val="20"/>
        </w:rPr>
        <w:t>12. Seabold, S.; Perktold, J. Statsmodels: Econometric and statistical modeling with Python. Proc. 9th Python Sci. Conf. 2010, 92–96. DOI: 10.25080/Majora-92bf1922-011</w:t>
      </w:r>
    </w:p>
    <w:p>
      <w:pPr>
        <w:spacing w:after="80" w:before="0" w:line="240" w:lineRule="auto"/>
        <w:ind w:firstLine="0"/>
      </w:pPr>
      <w:r>
        <w:rPr>
          <w:rFonts w:ascii="Arial" w:hAnsi="Arial" w:eastAsia="Arial"/>
          <w:b w:val="0"/>
          <w:i w:val="0"/>
          <w:sz w:val="20"/>
        </w:rPr>
        <w:t>13. Hunter, J. D. Matplotlib: A 2D graphics environment. Comput. Sci. Eng. 2007, 9, 90–95. DOI: 10.1109/MCSE.2007.55</w:t>
      </w:r>
    </w:p>
    <w:p>
      <w:pPr>
        <w:spacing w:after="80" w:before="0" w:line="240" w:lineRule="auto"/>
        <w:ind w:firstLine="0"/>
      </w:pPr>
      <w:r>
        <w:rPr>
          <w:rFonts w:ascii="Arial" w:hAnsi="Arial" w:eastAsia="Arial"/>
          <w:b w:val="0"/>
          <w:i w:val="0"/>
          <w:sz w:val="20"/>
        </w:rPr>
        <w:t>14. Akaike, H. A new look at the statistical model identification. IEEE Trans. Autom. Control 1974, 19, 716–723. DOI: 10.1109/TAC.1974.1100705</w:t>
      </w:r>
    </w:p>
    <w:p>
      <w:pPr>
        <w:spacing w:after="80" w:before="0" w:line="240" w:lineRule="auto"/>
        <w:ind w:firstLine="0"/>
      </w:pPr>
      <w:r>
        <w:rPr>
          <w:rFonts w:ascii="Arial" w:hAnsi="Arial" w:eastAsia="Arial"/>
          <w:b w:val="0"/>
          <w:i w:val="0"/>
          <w:sz w:val="20"/>
        </w:rPr>
        <w:t>15. Spearman, C. The proof and measurement of association between two things. Am. J. Psychol. 1904, 15, 72–101. DOI: 10.2307/1412159</w:t>
      </w:r>
    </w:p>
    <w:p>
      <w:pPr>
        <w:spacing w:after="160" w:before="160" w:line="240" w:lineRule="auto"/>
        <w:ind w:firstLine="0"/>
      </w:pPr>
      <w:r>
        <w:rPr>
          <w:rFonts w:ascii="Arial" w:hAnsi="Arial" w:eastAsia="Arial"/>
          <w:b/>
          <w:i w:val="0"/>
          <w:sz w:val="28"/>
        </w:rPr>
        <w:t>Authors</w:t>
      </w:r>
    </w:p>
    <w:p>
      <w:pPr>
        <w:spacing w:after="160" w:before="0" w:line="240" w:lineRule="auto"/>
        <w:ind w:firstLine="0"/>
      </w:pPr>
      <w:r>
        <w:rPr>
          <w:rFonts w:ascii="Arial" w:hAnsi="Arial" w:eastAsia="Arial"/>
          <w:b w:val="0"/>
          <w:i w:val="0"/>
          <w:sz w:val="20"/>
        </w:rPr>
        <w:t>[Author Name] is a high school student. This project uses public championship results to compare last year’s first runner and fifth runner as predictors of next year’s DCSAA boys team place. Intended college and major: [to be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ind w:firstLin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