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2024-08-04T05:32:27Z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