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Национальный исследовательский университет «Высшая школа экономики»</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Санкт-Петербургская школа экономики и менеджмента</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Курсовая работа</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rtl w:val="0"/>
        </w:rPr>
        <w:t xml:space="preserve">«Эффект страны происхождения на российском фармацевтическом рынке: оценка ценовых дисконтов на рынке дженериков»</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Учебные программы: 38.03.01 «Экономика»; 38.03.02 «Менеджмент»</w:t>
      </w:r>
    </w:p>
    <w:p w:rsidR="00000000" w:rsidDel="00000000" w:rsidP="00000000" w:rsidRDefault="00000000" w:rsidRPr="00000000" w14:paraId="00000010">
      <w:pPr>
        <w:jc w:val="center"/>
        <w:rPr/>
      </w:pPr>
      <w:r w:rsidDel="00000000" w:rsidR="00000000" w:rsidRPr="00000000">
        <w:rPr>
          <w:rtl w:val="0"/>
        </w:rPr>
        <w:t xml:space="preserve">«Международный бакалавриат по бизнесу и экономике»</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9360.0" w:type="dxa"/>
        <w:jc w:val="left"/>
        <w:tblBorders>
          <w:insideH w:color="000000" w:space="0" w:sz="4" w:val="single"/>
          <w:insideV w:color="000000" w:space="0" w:sz="4" w:val="single"/>
        </w:tblBorders>
        <w:tblLayout w:type="fixed"/>
        <w:tblLook w:val="0000"/>
      </w:tblPr>
      <w:tblGrid>
        <w:gridCol w:w="45"/>
        <w:gridCol w:w="9315"/>
        <w:tblGridChange w:id="0">
          <w:tblGrid>
            <w:gridCol w:w="45"/>
            <w:gridCol w:w="93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jc w:val="right"/>
              <w:rPr/>
            </w:pPr>
            <w:r w:rsidDel="00000000" w:rsidR="00000000" w:rsidRPr="00000000">
              <w:rPr>
                <w:rtl w:val="0"/>
              </w:rPr>
              <w:t xml:space="preserve">Авторы: Ахтариев Тимур, 2301;</w:t>
            </w:r>
          </w:p>
          <w:p w:rsidR="00000000" w:rsidDel="00000000" w:rsidP="00000000" w:rsidRDefault="00000000" w:rsidRPr="00000000" w14:paraId="0000001E">
            <w:pPr>
              <w:jc w:val="right"/>
              <w:rPr/>
            </w:pPr>
            <w:r w:rsidDel="00000000" w:rsidR="00000000" w:rsidRPr="00000000">
              <w:rPr>
                <w:rtl w:val="0"/>
              </w:rPr>
              <w:t xml:space="preserve">Васильев Иван, 2301;</w:t>
            </w:r>
          </w:p>
          <w:p w:rsidR="00000000" w:rsidDel="00000000" w:rsidP="00000000" w:rsidRDefault="00000000" w:rsidRPr="00000000" w14:paraId="0000001F">
            <w:pPr>
              <w:jc w:val="right"/>
              <w:rPr/>
            </w:pPr>
            <w:r w:rsidDel="00000000" w:rsidR="00000000" w:rsidRPr="00000000">
              <w:rPr>
                <w:rtl w:val="0"/>
              </w:rPr>
              <w:t xml:space="preserve">Мухин Иван, 2301</w:t>
            </w:r>
          </w:p>
          <w:p w:rsidR="00000000" w:rsidDel="00000000" w:rsidP="00000000" w:rsidRDefault="00000000" w:rsidRPr="00000000" w14:paraId="00000020">
            <w:pPr>
              <w:jc w:val="right"/>
              <w:rPr/>
            </w:pPr>
            <w:r w:rsidDel="00000000" w:rsidR="00000000" w:rsidRPr="00000000">
              <w:rPr>
                <w:rtl w:val="0"/>
              </w:rPr>
            </w:r>
          </w:p>
          <w:p w:rsidR="00000000" w:rsidDel="00000000" w:rsidP="00000000" w:rsidRDefault="00000000" w:rsidRPr="00000000" w14:paraId="00000021">
            <w:pPr>
              <w:jc w:val="right"/>
              <w:rPr/>
            </w:pPr>
            <w:r w:rsidDel="00000000" w:rsidR="00000000" w:rsidRPr="00000000">
              <w:rPr>
                <w:rtl w:val="0"/>
              </w:rPr>
              <w:t xml:space="preserve">Научный руководитель: Рубин Александр Юрьевич</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Санкт-Петербург</w:t>
      </w:r>
    </w:p>
    <w:p w:rsidR="00000000" w:rsidDel="00000000" w:rsidP="00000000" w:rsidRDefault="00000000" w:rsidRPr="00000000" w14:paraId="0000002C">
      <w:pPr>
        <w:jc w:val="center"/>
        <w:rPr/>
      </w:pPr>
      <w:r w:rsidDel="00000000" w:rsidR="00000000" w:rsidRPr="00000000">
        <w:rPr>
          <w:rtl w:val="0"/>
        </w:rPr>
        <w:t xml:space="preserve">2025-2026</w:t>
      </w:r>
    </w:p>
    <w:p w:rsidR="00000000" w:rsidDel="00000000" w:rsidP="00000000" w:rsidRDefault="00000000" w:rsidRPr="00000000" w14:paraId="0000002D">
      <w:pPr>
        <w:jc w:val="center"/>
        <w:rPr/>
      </w:pPr>
      <w:r w:rsidDel="00000000" w:rsidR="00000000" w:rsidRPr="00000000">
        <w:rPr>
          <w:b w:val="1"/>
          <w:bCs w:val="1"/>
          <w:rtl w:val="0"/>
        </w:rPr>
        <w:t xml:space="preserve">Аннотация</w:t>
      </w:r>
      <w:r w:rsidDel="00000000" w:rsidR="00000000" w:rsidRPr="00000000">
        <w:rPr>
          <w:rtl w:val="0"/>
        </w:rPr>
      </w:r>
    </w:p>
    <w:p w:rsidR="00000000" w:rsidDel="00000000" w:rsidP="00000000" w:rsidRDefault="00000000" w:rsidRPr="00000000" w14:paraId="0000002E">
      <w:pPr>
        <w:ind w:firstLine="708"/>
        <w:jc w:val="both"/>
        <w:rPr/>
      </w:pPr>
      <w:r w:rsidDel="00000000" w:rsidR="00000000" w:rsidRPr="00000000">
        <w:rPr>
          <w:rtl w:val="0"/>
        </w:rPr>
        <w:t xml:space="preserve">В нашей работе анализируется влияние страны происхождения на цены дженериков на российском фармацевтическом рынке. Для этого используются данные о розничных аптечных продажах по России за 2019–2024 годы: 8281 наблюдение по 31 действующему веществу. На основе этих данных была построена модель Pooled OLS.</w:t>
      </w:r>
    </w:p>
    <w:p w:rsidR="00000000" w:rsidDel="00000000" w:rsidP="00000000" w:rsidRDefault="00000000" w:rsidRPr="00000000" w14:paraId="0000002F">
      <w:pPr>
        <w:ind w:firstLine="709"/>
        <w:jc w:val="both"/>
        <w:rPr/>
      </w:pPr>
      <w:r w:rsidDel="00000000" w:rsidR="00000000" w:rsidRPr="00000000">
        <w:rPr>
          <w:rtl w:val="0"/>
        </w:rPr>
        <w:t xml:space="preserve">Поскольку в рамках одного действующего вещества дженерики считаются биоэквивалентными, а цены в нашей базе приведены к единице дозы, различия в ценах можно связать не только с объективными характеристиками препарата, но и с воспринимаемыми потребителями факторами, включая страну происхождения.</w:t>
      </w:r>
    </w:p>
    <w:p w:rsidR="00000000" w:rsidDel="00000000" w:rsidP="00000000" w:rsidRDefault="00000000" w:rsidRPr="00000000" w14:paraId="00000030">
      <w:pPr>
        <w:ind w:firstLine="709"/>
        <w:jc w:val="both"/>
        <w:rPr/>
      </w:pPr>
      <w:r w:rsidDel="00000000" w:rsidR="00000000" w:rsidRPr="00000000">
        <w:rPr>
          <w:rtl w:val="0"/>
        </w:rPr>
        <w:t xml:space="preserve">В работе формулируются три гипотезы. Первая предполагает, что российские дженерики воспринимаются рынком менее благоприятно и поэтому стоят дешевле. Вторая связана с изменением ценовых ориентиров после санкционного шока 2022 года: предполагается, что рынок сместился с западноевропейских препаратов в сторону индийских, но это не сопровождалось реальным ростом воспринимаемого качества. Третья гипотеза касается стратегии мимикрии и предполагает, что она позволяет получать ценовую премию.</w:t>
      </w:r>
    </w:p>
    <w:p w:rsidR="00000000" w:rsidDel="00000000" w:rsidP="00000000" w:rsidRDefault="00000000" w:rsidRPr="00000000" w14:paraId="00000031">
      <w:pPr>
        <w:ind w:firstLine="709"/>
        <w:jc w:val="both"/>
        <w:rPr/>
      </w:pPr>
      <w:r w:rsidDel="00000000" w:rsidR="00000000" w:rsidRPr="00000000">
        <w:rPr>
          <w:rtl w:val="0"/>
        </w:rPr>
        <w:t xml:space="preserve">Полученные результаты подтверждают первую гипотезу: в среднем отечественные препараты продаются на 40,8% дешевле импортных. Это позволяет сделать вывод о том, что эффект страны происхождения действительно играет заметную роль на российском рынке дженериков, тогда как гипотезы H2 и H3 требуют дальнейшей проверки в расширенной модели.</w:t>
      </w:r>
    </w:p>
    <w:p w:rsidR="00000000" w:rsidDel="00000000" w:rsidP="00000000" w:rsidRDefault="00000000" w:rsidRPr="00000000" w14:paraId="00000032">
      <w:pPr>
        <w:pageBreakBefore w:val="1"/>
        <w:spacing w:after="100" w:lineRule="auto"/>
        <w:jc w:val="center"/>
        <w:rPr/>
      </w:pPr>
      <w:r w:rsidDel="00000000" w:rsidR="00000000" w:rsidRPr="00000000">
        <w:rPr>
          <w:b w:val="1"/>
          <w:bCs w:val="1"/>
          <w:rtl w:val="0"/>
        </w:rPr>
        <w:t xml:space="preserve">1. Введение и обоснование проблемы</w:t>
      </w:r>
      <w:r w:rsidDel="00000000" w:rsidR="00000000" w:rsidRPr="00000000">
        <w:rPr>
          <w:rtl w:val="0"/>
        </w:rPr>
      </w:r>
    </w:p>
    <w:p w:rsidR="00000000" w:rsidDel="00000000" w:rsidP="00000000" w:rsidRDefault="00000000" w:rsidRPr="00000000" w14:paraId="00000033">
      <w:pPr>
        <w:ind w:firstLine="709"/>
        <w:jc w:val="both"/>
        <w:rPr/>
      </w:pPr>
      <w:r w:rsidDel="00000000" w:rsidR="00000000" w:rsidRPr="00000000">
        <w:rPr>
          <w:rtl w:val="0"/>
        </w:rPr>
        <w:t xml:space="preserve">Эффект страны происхождения (Country-of-Origin Effect, CoOE) представляет собой систематическое влияние страны производства товара на восприятие продукта потребителями и их готовность платить, сохраняющееся даже при контроле объективных характеристик товара. На сегодняшний день по данной теме сформирован обширный массив исследований (Peterson and Jolibert, 1995; Verlegh and Steenkamp, 1999). Вместе с тем основная часть этой литературы опирается на опросные методы, включая анкетирование потребителей и эксперименты с гипотетическим выбором. Работ, в которых CoOE идентифицируется на основе реальных рыночных данных, существенно меньше, и сосредоточены они преимущественно на рынках продовольствия, в частности вина.</w:t>
      </w:r>
    </w:p>
    <w:p w:rsidR="00000000" w:rsidDel="00000000" w:rsidP="00000000" w:rsidRDefault="00000000" w:rsidRPr="00000000" w14:paraId="00000034">
      <w:pPr>
        <w:ind w:firstLine="709"/>
        <w:jc w:val="both"/>
        <w:rPr/>
      </w:pPr>
      <w:r w:rsidDel="00000000" w:rsidR="00000000" w:rsidRPr="00000000">
        <w:rPr>
          <w:rtl w:val="0"/>
        </w:rPr>
        <w:t xml:space="preserve">Применительно к фармацевтическому рынку данный исследовательский пробел особенно заметен. Среди известных нам работ, посвященных CoOE на рынке дженериков, только Sanyal and Datta (2011) используют транзакционные данные индийского рынка. В России в открытом доступе нет исследований на аптечных данных, в которых страна происхождения рассматривалась бы как фактор, влияющий на цену препарата.</w:t>
      </w:r>
    </w:p>
    <w:p w:rsidR="00000000" w:rsidDel="00000000" w:rsidP="00000000" w:rsidRDefault="00000000" w:rsidRPr="00000000" w14:paraId="00000035">
      <w:pPr>
        <w:ind w:firstLine="709"/>
        <w:jc w:val="both"/>
        <w:rPr/>
      </w:pPr>
      <w:r w:rsidDel="00000000" w:rsidR="00000000" w:rsidRPr="00000000">
        <w:rPr>
          <w:rtl w:val="0"/>
        </w:rPr>
        <w:t xml:space="preserve">Начиная с 2014 года государство проводит масштабную политику импортозамещения, закрепленную в стратегии «Фарма 2030» с целевым показателем 67% доли отечественных препаратов в стоимостном выражении. По данным Минздрава, к 2026 году в натуральных единицах импорт занимает около 31% рынка, однако в деньгах по-прежнему около 54-55%. Устойчивый разрыв между натуральными и стоимостными долями указывает на то, что физическое присутствие отечественного препарата на полке не означает его равноценного восприятия потребителем. Если потребители систематически готовы платить меньше за отечественный дженерик с той же молекулой, политика импортозамещения достигает количественных, но не качественных целей.</w:t>
      </w:r>
    </w:p>
    <w:p w:rsidR="00000000" w:rsidDel="00000000" w:rsidP="00000000" w:rsidRDefault="00000000" w:rsidRPr="00000000" w14:paraId="00000036">
      <w:pPr>
        <w:ind w:firstLine="709"/>
        <w:jc w:val="both"/>
        <w:rPr/>
      </w:pPr>
      <w:r w:rsidDel="00000000" w:rsidR="00000000" w:rsidRPr="00000000">
        <w:rPr>
          <w:rtl w:val="0"/>
        </w:rPr>
        <w:t xml:space="preserve">Вопрос заключается не только в том, существует ли эффект страны происхождения в базовый период, но и в том, изменился ли он после 2022 года. Если ценовой разрыв между российскими и импортными препаратами сократился не из-за роста доверия к отечественным брендам, а из-за ухода части западных аналогов с рынка, то выводы для политики будут следующими: для государства это будет знаком низкого качества продукции и серьезного отставания от западных фармацевтических компаний в этом компоненте, для бизнеса - сигналом необходимости более масштабного R&amp;D.</w:t>
      </w:r>
    </w:p>
    <w:p w:rsidR="00000000" w:rsidDel="00000000" w:rsidP="00000000" w:rsidRDefault="00000000" w:rsidRPr="00000000" w14:paraId="00000037">
      <w:pPr>
        <w:ind w:firstLine="709"/>
        <w:jc w:val="both"/>
        <w:rPr/>
      </w:pPr>
      <w:r w:rsidDel="00000000" w:rsidR="00000000" w:rsidRPr="00000000">
        <w:rPr>
          <w:rtl w:val="0"/>
        </w:rPr>
        <w:t xml:space="preserve">Следовательно, для комплексного изучения эффекта страны происхождения в нынешних реалиях фармацевтического рынка в России мы поставили перед собой три исследовательских вопроса. ИВ1: есть ли значимый ценовой дисконт на российские дженерики относительно западноевропейских аналогов с той же молекулой в 2019-2021 годах? ИВ2: претерпел ли этот эффект структурный сдвиг после 2022 года, и если да, то что именно он отражает? ИВ3: дает ли стратегия мимикрии, то есть использование иностранно звучащего торгового наименования российским производителем, измеримую ценовую премию?</w:t>
      </w:r>
    </w:p>
    <w:p w:rsidR="00000000" w:rsidDel="00000000" w:rsidP="00000000" w:rsidRDefault="00000000" w:rsidRPr="00000000" w14:paraId="00000038">
      <w:pPr>
        <w:ind w:firstLine="709"/>
        <w:jc w:val="both"/>
        <w:rPr/>
      </w:pPr>
      <w:r w:rsidDel="00000000" w:rsidR="00000000" w:rsidRPr="00000000">
        <w:rPr>
          <w:rtl w:val="0"/>
        </w:rPr>
        <w:t xml:space="preserve">Для ответа на поставленные вопросы в работе оценивается регрессионная модель на выборке из 8281 наблюдения с фиксированными эффектами по действующему веществу и времени. Это позволяет проанализировать, как страна происхождения связана с ценой препарата при контроле сопоставимых характеристик. Работа вносит вклад в три взаимосвязанных направления исследований: изучение эффекта страны происхождения на фармацевтических рынках, экономический анализ российской политики импортозамещения, а также исследование структурных изменений в потребительских предпочтениях под воздействием внешних торговых шоков. Структура работы выглядит следующим образом: в разделе 2 представлен обзор литературы и сформулированы гипотезы, в разделе 3 описаны данные и методология, в разделе 4 приведены результаты эмпирического анализа, в разделе 5 они обсуждаются, а в разделе 6 сформулированы основные выводы.</w:t>
      </w:r>
    </w:p>
    <w:p w:rsidR="00000000" w:rsidDel="00000000" w:rsidP="00000000" w:rsidRDefault="00000000" w:rsidRPr="00000000" w14:paraId="00000039">
      <w:pPr>
        <w:pageBreakBefore w:val="1"/>
        <w:spacing w:after="100" w:lineRule="auto"/>
        <w:jc w:val="center"/>
        <w:rPr/>
      </w:pPr>
      <w:r w:rsidDel="00000000" w:rsidR="00000000" w:rsidRPr="00000000">
        <w:rPr>
          <w:b w:val="1"/>
          <w:bCs w:val="1"/>
          <w:rtl w:val="0"/>
        </w:rPr>
        <w:t xml:space="preserve">2. Обзор литературы</w:t>
      </w:r>
      <w:r w:rsidDel="00000000" w:rsidR="00000000" w:rsidRPr="00000000">
        <w:rPr>
          <w:rtl w:val="0"/>
        </w:rPr>
      </w:r>
    </w:p>
    <w:p w:rsidR="00000000" w:rsidDel="00000000" w:rsidP="00000000" w:rsidRDefault="00000000" w:rsidRPr="00000000" w14:paraId="0000003A">
      <w:pPr>
        <w:spacing w:after="50" w:before="100" w:lineRule="auto"/>
        <w:ind w:firstLine="709"/>
        <w:jc w:val="both"/>
        <w:rPr/>
      </w:pPr>
      <w:r w:rsidDel="00000000" w:rsidR="00000000" w:rsidRPr="00000000">
        <w:rPr>
          <w:b w:val="1"/>
          <w:bCs w:val="1"/>
          <w:rtl w:val="0"/>
        </w:rPr>
        <w:t xml:space="preserve">2.1. Концепция эффекта страны происхождения</w:t>
      </w:r>
      <w:r w:rsidDel="00000000" w:rsidR="00000000" w:rsidRPr="00000000">
        <w:rPr>
          <w:rtl w:val="0"/>
        </w:rPr>
      </w:r>
    </w:p>
    <w:p w:rsidR="00000000" w:rsidDel="00000000" w:rsidP="00000000" w:rsidRDefault="00000000" w:rsidRPr="00000000" w14:paraId="0000003B">
      <w:pPr>
        <w:ind w:firstLine="709"/>
        <w:jc w:val="both"/>
        <w:rPr/>
      </w:pPr>
      <w:r w:rsidDel="00000000" w:rsidR="00000000" w:rsidRPr="00000000">
        <w:rPr>
          <w:rtl w:val="0"/>
        </w:rPr>
        <w:t xml:space="preserve">Изучение эффекта страны происхождения (Country-of-Origin Effect, CoOE) как самостоятельного феномена обычно связывают с работой Schooler (1965), однако наиболее активное развитие эта тема получила в последующие десятилетия. Мета-анализ Peterson and Jolibert (1995), охвативший 52 исследования, показал, что в большинстве случаев страна происхождения действительно оказывает статистически значимое влияние на восприятие товара. В более позднем мета-анализе Verlegh and Steenkamp (1999) CoOE рассматривается как многомерный феномен, включающий когнитивные, аффективные и нормативные компоненты. В частности, его когнитивный аспект связан с тем, что при недостатке информации о конкретном товаре потребитель использует страну происхождения как косвенный сигнал его качества и других ненаблюдаемых характеристик (Agrawal and Kamakura, 1999).</w:t>
      </w:r>
    </w:p>
    <w:p w:rsidR="00000000" w:rsidDel="00000000" w:rsidP="00000000" w:rsidRDefault="00000000" w:rsidRPr="00000000" w14:paraId="0000003C">
      <w:pPr>
        <w:ind w:firstLine="709"/>
        <w:jc w:val="both"/>
        <w:rPr/>
      </w:pPr>
      <w:r w:rsidDel="00000000" w:rsidR="00000000" w:rsidRPr="00000000">
        <w:rPr>
          <w:rtl w:val="0"/>
        </w:rPr>
        <w:t xml:space="preserve">С теоретической точки зрения важно различать страну бренда, страну производства и страну разработки товара. Как показывают Agrawal and Kamakura (1999), в ряде случаев эффект страны бренда может оказываться сильнее, чем эффект страны производства, особенно если бренд хорошо известен потребителю. Для рынка дженериков это различие имеет особое значение. В частности, российские производители могут использовать иностранно звучащие торговые наименования, хотя фактическая страна производства препарата, зафиксированная в ГРЛС, остается российской. Это позволяет предположить, что на данном рынке восприятие происхождения товара может формироваться не только через производственную локализацию, но и через брендинговые сигналы.</w:t>
      </w:r>
    </w:p>
    <w:p w:rsidR="00000000" w:rsidDel="00000000" w:rsidP="00000000" w:rsidRDefault="00000000" w:rsidRPr="00000000" w14:paraId="0000003D">
      <w:pPr>
        <w:ind w:firstLine="709"/>
        <w:jc w:val="both"/>
        <w:rPr/>
      </w:pPr>
      <w:r w:rsidDel="00000000" w:rsidR="00000000" w:rsidRPr="00000000">
        <w:rPr>
          <w:rtl w:val="0"/>
        </w:rPr>
        <w:t xml:space="preserve">С экономической точки зрения CoOE означает, что страна происхождения может влиять на потребительский выбор и готовность платить наряду с объективными характеристиками товара. Иными словами, даже при сопоставимом качестве и одинаковом действующем веществе препараты могут восприниматься рынком по-разному в зависимости от того, с какой страной они ассоциируются. Для рынка дженериков это особенно важно, поскольку различия в цене в таком случае могут отражать не только реальные характеристики препарата, но и устойчивые представления потребителей о надежности, качестве и репутации производителей из разных стран.</w:t>
      </w:r>
    </w:p>
    <w:p w:rsidR="00000000" w:rsidDel="00000000" w:rsidP="00000000" w:rsidRDefault="00000000" w:rsidRPr="00000000" w14:paraId="0000003E">
      <w:pPr>
        <w:spacing w:after="50" w:before="100" w:lineRule="auto"/>
        <w:ind w:firstLine="709"/>
        <w:jc w:val="both"/>
        <w:rPr/>
      </w:pPr>
      <w:r w:rsidDel="00000000" w:rsidR="00000000" w:rsidRPr="00000000">
        <w:rPr>
          <w:b w:val="1"/>
          <w:bCs w:val="1"/>
          <w:rtl w:val="0"/>
        </w:rPr>
        <w:t xml:space="preserve">2.2. CoOE в фармацевтическом ценообразовании</w:t>
      </w:r>
      <w:r w:rsidDel="00000000" w:rsidR="00000000" w:rsidRPr="00000000">
        <w:rPr>
          <w:rtl w:val="0"/>
        </w:rPr>
      </w:r>
    </w:p>
    <w:p w:rsidR="00000000" w:rsidDel="00000000" w:rsidP="00000000" w:rsidRDefault="00000000" w:rsidRPr="00000000" w14:paraId="0000003F">
      <w:pPr>
        <w:ind w:firstLine="709"/>
        <w:jc w:val="both"/>
        <w:rPr/>
      </w:pPr>
      <w:r w:rsidDel="00000000" w:rsidR="00000000" w:rsidRPr="00000000">
        <w:rPr>
          <w:rtl w:val="0"/>
        </w:rPr>
        <w:t xml:space="preserve">Исследования ценообразования на фармацевтическом рынке в значительной степени развивались в рамках сравнительного анализа цен между странами. Так, Danzon and Chao (2000), используя данные по семи странам, показали, что различия в ценах во многом объясняются характеристиками препаратов и особенностями регуляторных режимов. В дальнейшем Danzon and Furukawa (2003) расширили анализ до девяти стран и пришли к выводу, что более низкие цены на дженерики в США по сравнению с Западной Европой связаны в том числе со структурой конкуренции на соответствующих рынках.</w:t>
      </w:r>
    </w:p>
    <w:p w:rsidR="00000000" w:rsidDel="00000000" w:rsidP="00000000" w:rsidRDefault="00000000" w:rsidRPr="00000000" w14:paraId="00000040">
      <w:pPr>
        <w:ind w:firstLine="709"/>
        <w:jc w:val="both"/>
        <w:rPr/>
      </w:pPr>
      <w:r w:rsidDel="00000000" w:rsidR="00000000" w:rsidRPr="00000000">
        <w:rPr>
          <w:rtl w:val="0"/>
        </w:rPr>
        <w:t xml:space="preserve">Однако в этих работах страна происхождения не рассматривается как самостоятельный фактор, влияющий на восприятие препарата потребителями. Ценовые различия в них интерпретируются прежде всего через институциональные, регуляторные и конкурентные факторы. В этом смысле они важны для понимания механизмов фармацевтического ценообразования, но не позволяют напрямую оценить Country-of-Origin Effect в поведенческом смысле.</w:t>
      </w:r>
    </w:p>
    <w:p w:rsidR="00000000" w:rsidDel="00000000" w:rsidP="00000000" w:rsidRDefault="00000000" w:rsidRPr="00000000" w14:paraId="00000041">
      <w:pPr>
        <w:ind w:firstLine="709"/>
        <w:jc w:val="both"/>
        <w:rPr/>
      </w:pPr>
      <w:r w:rsidDel="00000000" w:rsidR="00000000" w:rsidRPr="00000000">
        <w:rPr>
          <w:rtl w:val="0"/>
        </w:rPr>
        <w:t xml:space="preserve">Наиболее близкой к нашему исследованию представляется работа Sanyal and Datta (2011), посвященная рынку дженериков в Индии. Авторы показывают, что страна происхождения влияет на воспринимаемую силу бренда и уровень осведомленности о нем среди врачей. Вместе с тем данное исследование основано на опросных данных и поэтому не позволяет проследить, как эффект страны происхождения проявляется в реальных рыночных ценах. В этом состоит одно из ключевых отличий настоящей работы: она направлена на то, чтобы оценить, связан ли Country-of-Origin Effect с фактическими ценовыми различиями на российском рынке аптечных продаж.</w:t>
      </w:r>
    </w:p>
    <w:p w:rsidR="00000000" w:rsidDel="00000000" w:rsidP="00000000" w:rsidRDefault="00000000" w:rsidRPr="00000000" w14:paraId="00000042">
      <w:pPr>
        <w:spacing w:after="50" w:before="100" w:lineRule="auto"/>
        <w:ind w:firstLine="709"/>
        <w:jc w:val="both"/>
        <w:rPr/>
      </w:pPr>
      <w:r w:rsidDel="00000000" w:rsidR="00000000" w:rsidRPr="00000000">
        <w:rPr>
          <w:b w:val="1"/>
          <w:bCs w:val="1"/>
          <w:rtl w:val="0"/>
        </w:rPr>
        <w:t xml:space="preserve">2.3. Потребительское восприятие и российский контекст</w:t>
      </w:r>
      <w:r w:rsidDel="00000000" w:rsidR="00000000" w:rsidRPr="00000000">
        <w:rPr>
          <w:rtl w:val="0"/>
        </w:rPr>
      </w:r>
    </w:p>
    <w:p w:rsidR="00000000" w:rsidDel="00000000" w:rsidP="00000000" w:rsidRDefault="00000000" w:rsidRPr="00000000" w14:paraId="00000043">
      <w:pPr>
        <w:ind w:firstLine="709"/>
        <w:jc w:val="both"/>
        <w:rPr/>
      </w:pPr>
      <w:r w:rsidDel="00000000" w:rsidR="00000000" w:rsidRPr="00000000">
        <w:rPr>
          <w:rtl w:val="0"/>
        </w:rPr>
        <w:t xml:space="preserve">Koschate-Fischer et al. (2012) на основе трех экспериментальных исследований показывают, что страна происхождения способна положительно влиять на готовность платить, причем по мере роста осведомленности о бренде этот эффект ослабевает. Для рынка дженериков данный вывод особенно важен, поскольку такие препараты, как правило, не обладают сопоставимой с оригинальными брендами историей и устойчивым символическим капиталом. В этих условиях страна происхождения может выступать более значимым ориентиром при восприятии качества.</w:t>
      </w:r>
    </w:p>
    <w:p w:rsidR="00000000" w:rsidDel="00000000" w:rsidP="00000000" w:rsidRDefault="00000000" w:rsidRPr="00000000" w14:paraId="00000044">
      <w:pPr>
        <w:ind w:firstLine="709"/>
        <w:jc w:val="both"/>
        <w:rPr/>
      </w:pPr>
      <w:r w:rsidDel="00000000" w:rsidR="00000000" w:rsidRPr="00000000">
        <w:rPr>
          <w:rtl w:val="0"/>
        </w:rPr>
        <w:t xml:space="preserve">В российском контексте эффект страны происхождения имеет также специфические институциональные предпосылки. В советской экономике бренды не выполняли полноценную функцию рыночного сигнала качества, а в начале 1990-х годов западные товары для многих потребителей стали первым массовым опытом взаимодействия с продукцией, ассоциирующейся с более высоким качеством и более жесткой конкурентной средой. В таких условиях страна происхождения стала выполнять роль понятного и доступного ориентира при выборе товара, особенно в ситуации информационной асимметрии и ограниченного доверия к институтам контроля качества (Agrawal and Kamakura, 1999).</w:t>
      </w:r>
    </w:p>
    <w:p w:rsidR="00000000" w:rsidDel="00000000" w:rsidP="00000000" w:rsidRDefault="00000000" w:rsidRPr="00000000" w14:paraId="00000045">
      <w:pPr>
        <w:ind w:firstLine="709"/>
        <w:jc w:val="both"/>
        <w:rPr/>
      </w:pPr>
      <w:r w:rsidDel="00000000" w:rsidR="00000000" w:rsidRPr="00000000">
        <w:rPr>
          <w:rtl w:val="0"/>
        </w:rPr>
        <w:t xml:space="preserve">Данные ВЦИОМ (2023) косвенно подтверждают устойчивость такого восприятия на российском фармацевтическом рынке. Среди потребителей, предпочитающих импортные лекарства, 57% называют основной причиной более высокое качество, а 28% - опасения, связанные с подделками. При этом по сравнению с 2020 годом данные показатели изменились незначительно. Это позволяет предположить, что представления о сравнительном качестве импортных и отечественных препаратов сохраняют устойчивый характер и не сводятся к краткосрочной рыночной конъюнктуре.</w:t>
      </w:r>
    </w:p>
    <w:p w:rsidR="00000000" w:rsidDel="00000000" w:rsidP="00000000" w:rsidRDefault="00000000" w:rsidRPr="00000000" w14:paraId="00000046">
      <w:pPr>
        <w:ind w:firstLine="709"/>
        <w:jc w:val="both"/>
        <w:rPr/>
      </w:pPr>
      <w:r w:rsidDel="00000000" w:rsidR="00000000" w:rsidRPr="00000000">
        <w:rPr>
          <w:rtl w:val="0"/>
        </w:rPr>
        <w:t xml:space="preserve">В рассматриваемом контексте особую роль играют индийские дженерики, которые в последние годы заняли заметное место на российском рынке. В потребительском восприятии они могут занимать промежуточную позицию между западноевропейскими и российскими препаратами: с одной стороны, восприниматься как доступная альтернатива выбывающим западным брендам, с другой — не обладать тем же уровнем доверия, который традиционно ассоциируется с западноевропейским происхождением. Это создает предпосылки для формирования неформальной иерархии восприятия страны происхождения на рынке дженериков.</w:t>
      </w:r>
    </w:p>
    <w:p w:rsidR="00000000" w:rsidDel="00000000" w:rsidP="00000000" w:rsidRDefault="00000000" w:rsidRPr="00000000" w14:paraId="00000047">
      <w:pPr>
        <w:spacing w:after="50" w:before="100" w:lineRule="auto"/>
        <w:ind w:firstLine="709"/>
        <w:jc w:val="both"/>
        <w:rPr/>
      </w:pPr>
      <w:r w:rsidDel="00000000" w:rsidR="00000000" w:rsidRPr="00000000">
        <w:rPr>
          <w:b w:val="1"/>
          <w:bCs w:val="1"/>
          <w:rtl w:val="0"/>
        </w:rPr>
        <w:t xml:space="preserve">2.4. Санкционный шок 2022 года</w:t>
      </w:r>
      <w:r w:rsidDel="00000000" w:rsidR="00000000" w:rsidRPr="00000000">
        <w:rPr>
          <w:rtl w:val="0"/>
        </w:rPr>
      </w:r>
    </w:p>
    <w:p w:rsidR="00000000" w:rsidDel="00000000" w:rsidP="00000000" w:rsidRDefault="00000000" w:rsidRPr="00000000" w14:paraId="00000048">
      <w:pPr>
        <w:ind w:firstLine="709"/>
        <w:jc w:val="both"/>
        <w:rPr/>
      </w:pPr>
      <w:r w:rsidDel="00000000" w:rsidR="00000000" w:rsidRPr="00000000">
        <w:rPr>
          <w:rtl w:val="0"/>
        </w:rPr>
        <w:t xml:space="preserve">Санкционный шок 2022 года существенно изменил ситуацию на российском фармацевтическом рынке. Уход части западных производителей, перестройка логистики и рост присутствия индийских дженериков повлияли не только на доступность отдельных препаратов, но и на то, какие импортные аналоги стали для потребителей основным ориентиром при сравнении с отечественными лекарствами.</w:t>
      </w:r>
    </w:p>
    <w:p w:rsidR="00000000" w:rsidDel="00000000" w:rsidP="00000000" w:rsidRDefault="00000000" w:rsidRPr="00000000" w14:paraId="00000049">
      <w:pPr>
        <w:ind w:firstLine="709"/>
        <w:jc w:val="both"/>
        <w:rPr/>
      </w:pPr>
      <w:r w:rsidDel="00000000" w:rsidR="00000000" w:rsidRPr="00000000">
        <w:rPr>
          <w:rtl w:val="0"/>
        </w:rPr>
        <w:t xml:space="preserve">С точки зрения литературы по Country-of-Origin Effect это особенно важно, поскольку CoOE проявляется именно в тех ситуациях, когда потребитель использует внешние сигналы для оценки качества товара при неполной информации о его объективных характеристиках (Agrawal &amp; Kamakura, 1999). Для фармацевтического рынка такая логика особенно релевантна, поскольку при выборе дженериков потребитель, как правило, не может самостоятельно оценить качество препарата и поэтому в большей степени опирается на косвенные ориентиры.</w:t>
      </w:r>
    </w:p>
    <w:p w:rsidR="00000000" w:rsidDel="00000000" w:rsidP="00000000" w:rsidRDefault="00000000" w:rsidRPr="00000000" w14:paraId="0000004A">
      <w:pPr>
        <w:ind w:firstLine="709"/>
        <w:jc w:val="both"/>
        <w:rPr/>
      </w:pPr>
      <w:r w:rsidDel="00000000" w:rsidR="00000000" w:rsidRPr="00000000">
        <w:rPr>
          <w:rtl w:val="0"/>
        </w:rPr>
        <w:t xml:space="preserve">В этих условиях важно понять не только то, сохранялся ли эффект страны происхождения после 2022 года, но и то, изменился ли его характер. Если до санкционного шока основным ориентиром качества для потребителя выступали западноевропейские препараты, то после изменения структуры предложения эта роль могла частично перейти к индийским дженерикам. В таком случае сокращение ценового разрыва между российскими и импортными препаратами не обязательно означает рост доверия к отечественным брендам, а может отражать изменение самой точки сравнения.</w:t>
      </w:r>
    </w:p>
    <w:p w:rsidR="00000000" w:rsidDel="00000000" w:rsidP="00000000" w:rsidRDefault="00000000" w:rsidRPr="00000000" w14:paraId="0000004B">
      <w:pPr>
        <w:spacing w:after="50" w:before="100" w:lineRule="auto"/>
        <w:ind w:firstLine="709"/>
        <w:jc w:val="both"/>
        <w:rPr/>
      </w:pPr>
      <w:r w:rsidDel="00000000" w:rsidR="00000000" w:rsidRPr="00000000">
        <w:rPr>
          <w:b w:val="1"/>
          <w:bCs w:val="1"/>
          <w:rtl w:val="0"/>
        </w:rPr>
        <w:t xml:space="preserve">2.5. Стратегия мимикрии</w:t>
      </w:r>
      <w:r w:rsidDel="00000000" w:rsidR="00000000" w:rsidRPr="00000000">
        <w:rPr>
          <w:rtl w:val="0"/>
        </w:rPr>
      </w:r>
    </w:p>
    <w:p w:rsidR="00000000" w:rsidDel="00000000" w:rsidP="00000000" w:rsidRDefault="00000000" w:rsidRPr="00000000" w14:paraId="0000004C">
      <w:pPr>
        <w:ind w:firstLine="709"/>
        <w:jc w:val="both"/>
        <w:rPr/>
      </w:pPr>
      <w:r w:rsidDel="00000000" w:rsidR="00000000" w:rsidRPr="00000000">
        <w:rPr>
          <w:rtl w:val="0"/>
        </w:rPr>
        <w:t xml:space="preserve">Если на рынке существует устойчивый отрицательный эффект страны происхождения для отечественных препаратов, у российских производителей возникает стимул искать способы частично его компенсировать. Одним из таких способов может быть стратегия мимикрии — использование иностранно звучащего торгового наименования при сохранении российского происхождения препарата.</w:t>
      </w:r>
    </w:p>
    <w:p w:rsidR="00000000" w:rsidDel="00000000" w:rsidP="00000000" w:rsidRDefault="00000000" w:rsidRPr="00000000" w14:paraId="0000004D">
      <w:pPr>
        <w:ind w:firstLine="709"/>
        <w:jc w:val="both"/>
        <w:rPr/>
      </w:pPr>
      <w:r w:rsidDel="00000000" w:rsidR="00000000" w:rsidRPr="00000000">
        <w:rPr>
          <w:rtl w:val="0"/>
        </w:rPr>
        <w:t xml:space="preserve">Такая логика согласуется с литературой, показывающей, что страна происхождения выступает для потребителя важным сигналом качества в условиях информационной асимметрии (Agrawal &amp; Kamakura, 1999). В то же время Koschate-Fischer et al. (2012) показывают, что влияние страны происхождения на готовность платить ослабевает по мере роста осведомленности о бренде. Для рынка дженериков это особенно важно, поскольку такие препараты, как правило, не обладают сильной брендовой историей и потому в большей степени зависят от внешних сигналов восприятия.</w:t>
      </w:r>
    </w:p>
    <w:p w:rsidR="00000000" w:rsidDel="00000000" w:rsidP="00000000" w:rsidRDefault="00000000" w:rsidRPr="00000000" w14:paraId="0000004E">
      <w:pPr>
        <w:ind w:firstLine="709"/>
        <w:jc w:val="both"/>
        <w:rPr/>
      </w:pPr>
      <w:r w:rsidDel="00000000" w:rsidR="00000000" w:rsidRPr="00000000">
        <w:rPr>
          <w:rtl w:val="0"/>
        </w:rPr>
        <w:t xml:space="preserve">В этих условиях иностранно звучащее торговое наименование может выполнять функцию дополнительного сигнала, который частично смягчает негативное восприятие российского происхождения препарата. Иными словами, если потребитель сначала воспринимает название и только затем обращает внимание на фактическую страну производства, у производителя появляется возможность влиять на восприятие препарата через брендинговые характеристики.</w:t>
      </w:r>
    </w:p>
    <w:p w:rsidR="00000000" w:rsidDel="00000000" w:rsidP="00000000" w:rsidRDefault="00000000" w:rsidRPr="00000000" w14:paraId="0000004F">
      <w:pPr>
        <w:ind w:firstLine="709"/>
        <w:jc w:val="both"/>
        <w:rPr/>
      </w:pPr>
      <w:r w:rsidDel="00000000" w:rsidR="00000000" w:rsidRPr="00000000">
        <w:rPr>
          <w:rtl w:val="0"/>
        </w:rPr>
        <w:t xml:space="preserve">С этой точки зрения мимикрию можно рассматривать как рациональную рыночную стратегию. Если иностранное происхождение ассоциируется с более высоким качеством, а изменение названия требует меньших затрат, чем изменение устойчивых потребительских представлений, производитель получает стимул использовать такой инструмент для повышения воспринимаемой ценности препарата и, возможно, для получения ценовой премии.</w:t>
      </w:r>
    </w:p>
    <w:p w:rsidR="00000000" w:rsidDel="00000000" w:rsidP="00000000" w:rsidRDefault="00000000" w:rsidRPr="00000000" w14:paraId="00000050">
      <w:pPr>
        <w:spacing w:after="50" w:before="100" w:lineRule="auto"/>
        <w:ind w:firstLine="708"/>
        <w:jc w:val="both"/>
        <w:rPr/>
      </w:pPr>
      <w:r w:rsidDel="00000000" w:rsidR="00000000" w:rsidRPr="00000000">
        <w:rPr>
          <w:b w:val="1"/>
          <w:bCs w:val="1"/>
          <w:rtl w:val="0"/>
        </w:rPr>
        <w:t xml:space="preserve">2.6. Гипотезы</w:t>
      </w:r>
      <w:r w:rsidDel="00000000" w:rsidR="00000000" w:rsidRPr="00000000">
        <w:rPr>
          <w:rtl w:val="0"/>
        </w:rPr>
      </w:r>
    </w:p>
    <w:p w:rsidR="00000000" w:rsidDel="00000000" w:rsidP="00000000" w:rsidRDefault="00000000" w:rsidRPr="00000000" w14:paraId="00000051">
      <w:pPr>
        <w:ind w:firstLine="709"/>
        <w:jc w:val="both"/>
        <w:rPr/>
      </w:pPr>
      <w:r w:rsidDel="00000000" w:rsidR="00000000" w:rsidRPr="00000000">
        <w:rPr>
          <w:b w:val="1"/>
          <w:bCs w:val="1"/>
          <w:rtl w:val="0"/>
        </w:rPr>
        <w:t xml:space="preserve">H1 (Базовый отрицательный CoOE). </w:t>
      </w:r>
      <w:r w:rsidDel="00000000" w:rsidR="00000000" w:rsidRPr="00000000">
        <w:rPr>
          <w:rtl w:val="0"/>
        </w:rPr>
        <w:t xml:space="preserve">В 2019–2021 годах российские дженерики в среднем стоят дешевле западноевропейских аналогов с тем же действующим веществом, даже если учитывать другие характеристики препарата.</w:t>
      </w:r>
    </w:p>
    <w:p w:rsidR="00000000" w:rsidDel="00000000" w:rsidP="00000000" w:rsidRDefault="00000000" w:rsidRPr="00000000" w14:paraId="00000052">
      <w:pPr>
        <w:ind w:firstLine="709"/>
        <w:jc w:val="both"/>
        <w:rPr/>
      </w:pPr>
      <w:r w:rsidDel="00000000" w:rsidR="00000000" w:rsidRPr="00000000">
        <w:rPr>
          <w:b w:val="1"/>
          <w:bCs w:val="1"/>
          <w:rtl w:val="0"/>
        </w:rPr>
        <w:t xml:space="preserve">H2 (Реанкоринг, а не улучшение). </w:t>
      </w:r>
      <w:r w:rsidDel="00000000" w:rsidR="00000000" w:rsidRPr="00000000">
        <w:rPr>
          <w:rtl w:val="0"/>
        </w:rPr>
        <w:t xml:space="preserve">После 2022 года сокращение ценового разрыва между российскими и импортными препаратами объясняется скорее сменой ориентира для сравнения, чем улучшением отношения к российским брендам. При этом российские дженерики по-прежнему стоят дешевле индийских.</w:t>
      </w:r>
    </w:p>
    <w:p w:rsidR="00000000" w:rsidDel="00000000" w:rsidP="00000000" w:rsidRDefault="00000000" w:rsidRPr="00000000" w14:paraId="00000053">
      <w:pPr>
        <w:ind w:firstLine="709"/>
        <w:jc w:val="both"/>
        <w:rPr/>
      </w:pPr>
      <w:r w:rsidDel="00000000" w:rsidR="00000000" w:rsidRPr="00000000">
        <w:rPr>
          <w:b w:val="1"/>
          <w:bCs w:val="1"/>
          <w:rtl w:val="0"/>
        </w:rPr>
        <w:t xml:space="preserve">H3 (Ценовая премия мимикрии). </w:t>
      </w:r>
      <w:r w:rsidDel="00000000" w:rsidR="00000000" w:rsidRPr="00000000">
        <w:rPr>
          <w:rtl w:val="0"/>
        </w:rPr>
        <w:t xml:space="preserve">Российские производители с иностранно звучащим торговым наименованием устанавливают более высокие цены по сравнению с производителями с нейтральными или явно отечественными названиями по той же молекуле. Эта премия сохраняется после 2022 года.</w:t>
      </w:r>
    </w:p>
    <w:p w:rsidR="00000000" w:rsidDel="00000000" w:rsidP="00000000" w:rsidRDefault="00000000" w:rsidRPr="00000000" w14:paraId="00000054">
      <w:pPr>
        <w:pageBreakBefore w:val="1"/>
        <w:spacing w:after="100" w:lineRule="auto"/>
        <w:jc w:val="center"/>
        <w:rPr/>
      </w:pPr>
      <w:r w:rsidDel="00000000" w:rsidR="00000000" w:rsidRPr="00000000">
        <w:rPr>
          <w:b w:val="1"/>
          <w:bCs w:val="1"/>
          <w:rtl w:val="0"/>
        </w:rPr>
        <w:t xml:space="preserve">3. Данные и методология</w:t>
      </w:r>
      <w:r w:rsidDel="00000000" w:rsidR="00000000" w:rsidRPr="00000000">
        <w:rPr>
          <w:rtl w:val="0"/>
        </w:rPr>
      </w:r>
    </w:p>
    <w:p w:rsidR="00000000" w:rsidDel="00000000" w:rsidP="00000000" w:rsidRDefault="00000000" w:rsidRPr="00000000" w14:paraId="00000055">
      <w:pPr>
        <w:spacing w:after="50" w:before="100" w:lineRule="auto"/>
        <w:ind w:firstLine="709"/>
        <w:jc w:val="both"/>
        <w:rPr/>
      </w:pPr>
      <w:r w:rsidDel="00000000" w:rsidR="00000000" w:rsidRPr="00000000">
        <w:rPr>
          <w:b w:val="1"/>
          <w:bCs w:val="1"/>
          <w:rtl w:val="0"/>
        </w:rPr>
        <w:t xml:space="preserve">3.1. Данные</w:t>
      </w:r>
      <w:r w:rsidDel="00000000" w:rsidR="00000000" w:rsidRPr="00000000">
        <w:rPr>
          <w:rtl w:val="0"/>
        </w:rPr>
      </w:r>
    </w:p>
    <w:p w:rsidR="00000000" w:rsidDel="00000000" w:rsidP="00000000" w:rsidRDefault="00000000" w:rsidRPr="00000000" w14:paraId="00000056">
      <w:pPr>
        <w:ind w:firstLine="709"/>
        <w:jc w:val="both"/>
        <w:rPr/>
      </w:pPr>
      <w:r w:rsidDel="00000000" w:rsidR="00000000" w:rsidRPr="00000000">
        <w:rPr>
          <w:rtl w:val="0"/>
        </w:rPr>
        <w:t xml:space="preserve">Эмпирической основой исследования служат данные о розничных аптечных продажах в России за 2019–2024 годы. Для каждого наблюдения в базе доступны торговое наименование препарата, производитель, страна производства, дозировка, размер упаковки, лекарственная форма, регион, дата наблюдения и цена за упаковку. Информация о стране производства была дополнительно проверена по данным Государственного реестра лекарственных средств (ГРЛС). </w:t>
      </w:r>
    </w:p>
    <w:p w:rsidR="00000000" w:rsidDel="00000000" w:rsidP="00000000" w:rsidRDefault="00000000" w:rsidRPr="00000000" w14:paraId="00000057">
      <w:pPr>
        <w:ind w:firstLine="709"/>
        <w:jc w:val="both"/>
        <w:rPr/>
      </w:pPr>
      <w:r w:rsidDel="00000000" w:rsidR="00000000" w:rsidRPr="00000000">
        <w:rPr>
          <w:rtl w:val="0"/>
        </w:rPr>
        <w:t xml:space="preserve">Формирование выборки осуществлялось в несколько этапов. На первом этапе анализ был ограничен сегментом дженериков, поскольку в рамках одного МНН такие препараты считаются биоэквивалентными. Это позволяет сопоставлять препараты по одному и тому же действующему веществу и интерпретировать различия в ценах не только через их объективные характеристики, но и через дополнительные факторы, включая страну происхождения. На втором этапе были отобраны 31 действующее вещество, по которым наблюдается наиболее выраженная конкуренция между производителями из разных стран. В результате была сформирована очищенная исследовательская выборка, включающая 8281 наблюдение. На следующем этапе цена была приведена к сопоставимой единице действующего вещества. В качестве зависимой переменной в модели используется логарифм цены за грамм действующего вещества (ln(цена_за_г)). Такое преобразование позволяет корректнее сравнивать препараты с разной дозировкой и снижает влияние сильной асимметрии в распределении цен.</w:t>
      </w:r>
    </w:p>
    <w:p w:rsidR="00000000" w:rsidDel="00000000" w:rsidP="00000000" w:rsidRDefault="00000000" w:rsidRPr="00000000" w14:paraId="00000058">
      <w:pPr>
        <w:ind w:firstLine="709"/>
        <w:jc w:val="both"/>
        <w:rPr/>
      </w:pPr>
      <w:r w:rsidDel="00000000" w:rsidR="00000000" w:rsidRPr="00000000">
        <w:rPr>
          <w:rtl w:val="0"/>
        </w:rPr>
        <w:t xml:space="preserve">Ключевой объясняющей переменной в базовой модели выступает показатель Отечественный, принимающий значение 1 для отечественных препаратов и 0 для импортных или локализованных аналогов. Кроме того, в модель включаются временные индикаторы Ковид для периода 2020–2021 годов и Санкции для периода 2022 года и далее, логарифм валютного курса (ln(Курс)), индекс концентрации рынка внутри соответствующего МНН (HHI), а также переменная НедружПост2022, отражающая взаимодействие принадлежности препарата к недружественной стране с постсанкционным периодом. Именно этот набор переменных используется в базовой эмпирической спецификации.</w:t>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0"/>
          <w:bCs w:val="0"/>
          <w:i w:val="1"/>
          <w:iCs w:val="1"/>
          <w:smallCaps w:val="0"/>
          <w:strike w:val="0"/>
          <w:color w:val="0e2841"/>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2"/>
          <w:szCs w:val="22"/>
          <w:u w:val="none"/>
          <w:shd w:fill="auto" w:val="clear"/>
          <w:vertAlign w:val="baseline"/>
          <w:rtl w:val="0"/>
        </w:rPr>
        <w:t xml:space="preserve">Таблица 1. Переменные модели</w:t>
      </w:r>
    </w:p>
    <w:tbl>
      <w:tblPr>
        <w:tblStyle w:val="Table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596"/>
        <w:gridCol w:w="1275"/>
        <w:tblGridChange w:id="0">
          <w:tblGrid>
            <w:gridCol w:w="2200"/>
            <w:gridCol w:w="5596"/>
            <w:gridCol w:w="12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A">
            <w:pPr>
              <w:rPr>
                <w:color w:val="000000"/>
              </w:rPr>
            </w:pPr>
            <w:r w:rsidDel="00000000" w:rsidR="00000000" w:rsidRPr="00000000">
              <w:rPr>
                <w:b w:val="1"/>
                <w:bCs w:val="1"/>
                <w:color w:val="000000"/>
                <w:sz w:val="20"/>
                <w:szCs w:val="20"/>
                <w:rtl w:val="0"/>
              </w:rPr>
              <w:t xml:space="preserve">Переменная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B">
            <w:pPr>
              <w:rPr>
                <w:color w:val="000000"/>
              </w:rPr>
            </w:pPr>
            <w:r w:rsidDel="00000000" w:rsidR="00000000" w:rsidRPr="00000000">
              <w:rPr>
                <w:b w:val="1"/>
                <w:bCs w:val="1"/>
                <w:color w:val="000000"/>
                <w:sz w:val="20"/>
                <w:szCs w:val="20"/>
                <w:rtl w:val="0"/>
              </w:rPr>
              <w:t xml:space="preserve">Содержание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C">
            <w:pPr>
              <w:rPr>
                <w:color w:val="000000"/>
              </w:rPr>
            </w:pPr>
            <w:r w:rsidDel="00000000" w:rsidR="00000000" w:rsidRPr="00000000">
              <w:rPr>
                <w:b w:val="1"/>
                <w:bCs w:val="1"/>
                <w:color w:val="000000"/>
                <w:sz w:val="20"/>
                <w:szCs w:val="20"/>
                <w:rtl w:val="0"/>
              </w:rPr>
              <w:t xml:space="preserve">Роль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20"/>
                <w:szCs w:val="20"/>
                <w:rtl w:val="0"/>
              </w:rPr>
              <w:t xml:space="preserve">ln(цена_за_г)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20"/>
                <w:szCs w:val="20"/>
                <w:rtl w:val="0"/>
              </w:rPr>
              <w:t xml:space="preserve">Логарифм цены за грамм действующего вещества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20"/>
                <w:szCs w:val="20"/>
                <w:rtl w:val="0"/>
              </w:rPr>
              <w:t xml:space="preserve">Зависимая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20"/>
                <w:szCs w:val="20"/>
                <w:rtl w:val="0"/>
              </w:rPr>
              <w:t xml:space="preserve">Отечественный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20"/>
                <w:szCs w:val="20"/>
                <w:rtl w:val="0"/>
              </w:rPr>
              <w:t xml:space="preserve">1 = отечественный, 0 = импортный / локализованный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20"/>
                <w:szCs w:val="20"/>
                <w:rtl w:val="0"/>
              </w:rPr>
              <w:t xml:space="preserve">Основная объясн.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20"/>
                <w:szCs w:val="20"/>
                <w:rtl w:val="0"/>
              </w:rPr>
              <w:t xml:space="preserve">Ковид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20"/>
                <w:szCs w:val="20"/>
                <w:rtl w:val="0"/>
              </w:rPr>
              <w:t xml:space="preserve">Дамми: 2020-2021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20"/>
                <w:szCs w:val="20"/>
                <w:rtl w:val="0"/>
              </w:rPr>
              <w:t xml:space="preserve">Контроль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20"/>
                <w:szCs w:val="20"/>
                <w:rtl w:val="0"/>
              </w:rPr>
              <w:t xml:space="preserve">Санкции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20"/>
                <w:szCs w:val="20"/>
                <w:rtl w:val="0"/>
              </w:rPr>
              <w:t xml:space="preserve">Дамми: 2022 и далее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20"/>
                <w:szCs w:val="20"/>
                <w:rtl w:val="0"/>
              </w:rPr>
              <w:t xml:space="preserve">Контроль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20"/>
                <w:szCs w:val="20"/>
                <w:rtl w:val="0"/>
              </w:rPr>
              <w:t xml:space="preserve">ln(Курс)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20"/>
                <w:szCs w:val="20"/>
                <w:rtl w:val="0"/>
              </w:rPr>
              <w:t xml:space="preserve">Ln курса EUR/RUB или USD/RUB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20"/>
                <w:szCs w:val="20"/>
                <w:rtl w:val="0"/>
              </w:rPr>
              <w:t xml:space="preserve">Контроль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20"/>
                <w:szCs w:val="20"/>
                <w:rtl w:val="0"/>
              </w:rPr>
              <w:t xml:space="preserve">HHI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20"/>
                <w:szCs w:val="20"/>
                <w:rtl w:val="0"/>
              </w:rPr>
              <w:t xml:space="preserve">Индекс Херфиндаля-Хиршмана по фирмам внутри МНН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20"/>
                <w:szCs w:val="20"/>
                <w:rtl w:val="0"/>
              </w:rPr>
              <w:t xml:space="preserve">Контроль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20"/>
                <w:szCs w:val="20"/>
                <w:rtl w:val="0"/>
              </w:rPr>
              <w:t xml:space="preserve">НедружПост2022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20"/>
                <w:szCs w:val="20"/>
                <w:rtl w:val="0"/>
              </w:rPr>
              <w:t xml:space="preserve">Недружественная страна x пост-2022; 0 до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20"/>
                <w:szCs w:val="20"/>
                <w:rtl w:val="0"/>
              </w:rPr>
              <w:t xml:space="preserve">Контроль</w:t>
            </w:r>
            <w:r w:rsidDel="00000000" w:rsidR="00000000" w:rsidRPr="00000000">
              <w:rPr>
                <w:rtl w:val="0"/>
              </w:rPr>
            </w:r>
          </w:p>
        </w:tc>
      </w:tr>
    </w:tbl>
    <w:p w:rsidR="00000000" w:rsidDel="00000000" w:rsidP="00000000" w:rsidRDefault="00000000" w:rsidRPr="00000000" w14:paraId="00000072">
      <w:pPr>
        <w:spacing w:after="50" w:before="100" w:lineRule="auto"/>
        <w:jc w:val="both"/>
        <w:rPr>
          <w:b w:val="1"/>
          <w:bCs w:val="1"/>
        </w:rPr>
      </w:pPr>
      <w:r w:rsidDel="00000000" w:rsidR="00000000" w:rsidRPr="00000000">
        <w:rPr>
          <w:rtl w:val="0"/>
        </w:rPr>
      </w:r>
    </w:p>
    <w:p w:rsidR="00000000" w:rsidDel="00000000" w:rsidP="00000000" w:rsidRDefault="00000000" w:rsidRPr="00000000" w14:paraId="00000073">
      <w:pPr>
        <w:spacing w:after="50" w:before="100" w:lineRule="auto"/>
        <w:ind w:firstLine="709"/>
        <w:jc w:val="both"/>
        <w:rPr/>
      </w:pPr>
      <w:r w:rsidDel="00000000" w:rsidR="00000000" w:rsidRPr="00000000">
        <w:rPr>
          <w:b w:val="1"/>
          <w:bCs w:val="1"/>
          <w:rtl w:val="0"/>
        </w:rPr>
        <w:t xml:space="preserve">3.2. Модель</w:t>
      </w:r>
      <w:r w:rsidDel="00000000" w:rsidR="00000000" w:rsidRPr="00000000">
        <w:rPr>
          <w:rtl w:val="0"/>
        </w:rPr>
      </w:r>
    </w:p>
    <w:p w:rsidR="00000000" w:rsidDel="00000000" w:rsidP="00000000" w:rsidRDefault="00000000" w:rsidRPr="00000000" w14:paraId="00000074">
      <w:pPr>
        <w:ind w:firstLine="709"/>
        <w:jc w:val="both"/>
        <w:rPr/>
      </w:pPr>
      <w:r w:rsidDel="00000000" w:rsidR="00000000" w:rsidRPr="00000000">
        <w:rPr>
          <w:rtl w:val="0"/>
        </w:rPr>
        <w:t xml:space="preserve">Для проверки основной гипотезы в работе используется модель pooled OLS, где в качестве зависимой переменной выступает логарифм цены за грамм действующего вещества:</w:t>
      </w:r>
    </w:p>
    <w:p w:rsidR="00000000" w:rsidDel="00000000" w:rsidP="00000000" w:rsidRDefault="00000000" w:rsidRPr="00000000" w14:paraId="00000075">
      <w:pPr>
        <w:ind w:firstLine="709"/>
        <w:jc w:val="both"/>
        <w:rPr/>
      </w:pPr>
      <w:r w:rsidDel="00000000" w:rsidR="00000000" w:rsidRPr="00000000">
        <w:rPr>
          <w:rtl w:val="0"/>
        </w:rPr>
      </w:r>
    </w:p>
    <w:p w:rsidR="00000000" w:rsidDel="00000000" w:rsidP="00000000" w:rsidRDefault="00000000" w:rsidRPr="00000000" w14:paraId="00000076">
      <w:pPr>
        <w:jc w:val="left"/>
        <w:rPr>
          <w:rFonts w:ascii="Cambria Math" w:cs="Cambria Math" w:eastAsia="Cambria Math" w:hAnsi="Cambria Math"/>
          <w:sz w:val="7"/>
          <w:szCs w:val="7"/>
        </w:rPr>
      </w:pPr>
      <m:oMath>
        <m:box>
          <m:boxPr>
            <m:opEmu m:val="1"/>
          </m:boxPr>
          <m:e>
            <m:r>
              <m:t>ln</m:t>
            </m:r>
          </m:e>
        </m:box>
        <m:r>
          <w:rPr>
            <w:rFonts w:ascii="Cambria Math" w:cs="Cambria Math" w:eastAsia="Cambria Math" w:hAnsi="Cambria Math"/>
            <w:color w:val="000000"/>
            <w:sz w:val="7"/>
            <w:szCs w:val="7"/>
          </w:rPr>
          <m:t xml:space="preserve">ln</m:t>
        </m:r>
        <m:r>
          <w:rPr>
            <w:sz w:val="16"/>
            <w:szCs w:val="16"/>
          </w:rPr>
          <m:t xml:space="preserve"> </m:t>
        </m:r>
        <m:d>
          <m:dPr>
            <m:begChr m:val="("/>
            <m:endChr m:val=")"/>
            <m:ctrlPr>
              <w:rPr>
                <w:rFonts w:ascii="Cambria Math" w:cs="Cambria Math" w:eastAsia="Cambria Math" w:hAnsi="Cambria Math"/>
                <w:color w:val="000000"/>
                <w:sz w:val="7"/>
                <w:szCs w:val="7"/>
              </w:rPr>
            </m:ctrlPr>
          </m:dPr>
          <m:e>
            <m:r>
              <w:rPr>
                <w:rFonts w:ascii="Cambria Math" w:cs="Cambria Math" w:eastAsia="Cambria Math" w:hAnsi="Cambria Math"/>
                <w:color w:val="000000"/>
                <w:sz w:val="7"/>
                <w:szCs w:val="7"/>
              </w:rPr>
              <m:t xml:space="preserve">цена за грамм ДВ</m:t>
            </m:r>
          </m:e>
        </m:d>
        <m:r>
          <w:rPr>
            <w:sz w:val="16"/>
            <w:szCs w:val="16"/>
          </w:rPr>
          <m:t xml:space="preserve"> </m:t>
        </m:r>
        <m:r>
          <w:rPr>
            <w:rFonts w:ascii="Cambria Math" w:cs="Cambria Math" w:eastAsia="Cambria Math" w:hAnsi="Cambria Math"/>
            <w:color w:val="000000"/>
            <w:sz w:val="7"/>
            <w:szCs w:val="7"/>
          </w:rPr>
          <m:t xml:space="preserve">=</m:t>
        </m:r>
        <m:sSub>
          <m:sSubPr>
            <m:ctrlPr>
              <w:rPr>
                <w:rFonts w:ascii="Cambria Math" w:cs="Cambria Math" w:eastAsia="Cambria Math" w:hAnsi="Cambria Math"/>
                <w:color w:val="000000"/>
                <w:sz w:val="7"/>
                <w:szCs w:val="7"/>
              </w:rPr>
            </m:ctrlPr>
          </m:sSubPr>
          <m:e>
            <m:r>
              <w:rPr>
                <w:rFonts w:ascii="Cambria Math" w:cs="Cambria Math" w:eastAsia="Cambria Math" w:hAnsi="Cambria Math"/>
                <w:color w:val="000000"/>
                <w:sz w:val="7"/>
                <w:szCs w:val="7"/>
              </w:rPr>
              <m:t>β</m:t>
            </m:r>
          </m:e>
          <m:sub>
            <m:r>
              <w:rPr>
                <w:rFonts w:ascii="Cambria Math" w:cs="Cambria Math" w:eastAsia="Cambria Math" w:hAnsi="Cambria Math"/>
                <w:color w:val="000000"/>
                <w:sz w:val="7"/>
                <w:szCs w:val="7"/>
              </w:rPr>
              <m:t xml:space="preserve">0</m:t>
            </m:r>
          </m:sub>
        </m:sSub>
        <m:r>
          <w:rPr>
            <w:rFonts w:ascii="Cambria Math" w:cs="Cambria Math" w:eastAsia="Cambria Math" w:hAnsi="Cambria Math"/>
            <w:color w:val="000000"/>
            <w:sz w:val="7"/>
            <w:szCs w:val="7"/>
          </w:rPr>
          <m:t xml:space="preserve">+ </m:t>
        </m:r>
        <m:sSub>
          <m:sSubPr>
            <m:ctrlPr>
              <w:rPr>
                <w:rFonts w:ascii="Cambria Math" w:cs="Cambria Math" w:eastAsia="Cambria Math" w:hAnsi="Cambria Math"/>
                <w:color w:val="000000"/>
                <w:sz w:val="7"/>
                <w:szCs w:val="7"/>
              </w:rPr>
            </m:ctrlPr>
          </m:sSubPr>
          <m:e>
            <m:r>
              <w:rPr>
                <w:rFonts w:ascii="Cambria Math" w:cs="Cambria Math" w:eastAsia="Cambria Math" w:hAnsi="Cambria Math"/>
                <w:color w:val="000000"/>
                <w:sz w:val="7"/>
                <w:szCs w:val="7"/>
              </w:rPr>
              <m:t>β</m:t>
            </m:r>
          </m:e>
          <m:sub>
            <m:r>
              <w:rPr>
                <w:rFonts w:ascii="Cambria Math" w:cs="Cambria Math" w:eastAsia="Cambria Math" w:hAnsi="Cambria Math"/>
                <w:color w:val="000000"/>
                <w:sz w:val="7"/>
                <w:szCs w:val="7"/>
              </w:rPr>
              <m:t xml:space="preserve">1</m:t>
            </m:r>
          </m:sub>
        </m:sSub>
        <m:r>
          <w:rPr>
            <w:rFonts w:ascii="Cambria Math" w:cs="Cambria Math" w:eastAsia="Cambria Math" w:hAnsi="Cambria Math"/>
            <w:color w:val="000000"/>
            <w:sz w:val="7"/>
            <w:szCs w:val="7"/>
          </w:rPr>
          <m:t xml:space="preserve">Отечественны</m:t>
        </m:r>
        <m:sSub>
          <m:sSubPr>
            <m:ctrlPr>
              <w:rPr>
                <w:rFonts w:ascii="Cambria Math" w:cs="Cambria Math" w:eastAsia="Cambria Math" w:hAnsi="Cambria Math"/>
                <w:color w:val="000000"/>
                <w:sz w:val="7"/>
                <w:szCs w:val="7"/>
              </w:rPr>
            </m:ctrlPr>
          </m:sSubPr>
          <m:e>
            <m:r>
              <w:rPr>
                <w:rFonts w:ascii="Cambria Math" w:cs="Cambria Math" w:eastAsia="Cambria Math" w:hAnsi="Cambria Math"/>
                <w:color w:val="000000"/>
                <w:sz w:val="7"/>
                <w:szCs w:val="7"/>
              </w:rPr>
              <m:t xml:space="preserve">й</m:t>
            </m:r>
          </m:e>
          <m:sub>
            <m:r>
              <w:rPr>
                <w:rFonts w:ascii="Cambria Math" w:cs="Cambria Math" w:eastAsia="Cambria Math" w:hAnsi="Cambria Math"/>
                <w:color w:val="000000"/>
                <w:sz w:val="7"/>
                <w:szCs w:val="7"/>
              </w:rPr>
              <m:t xml:space="preserve">i</m:t>
            </m:r>
          </m:sub>
        </m:sSub>
        <m:r>
          <w:rPr>
            <w:rFonts w:ascii="Cambria Math" w:cs="Cambria Math" w:eastAsia="Cambria Math" w:hAnsi="Cambria Math"/>
            <w:color w:val="000000"/>
            <w:sz w:val="7"/>
            <w:szCs w:val="7"/>
          </w:rPr>
          <m:t xml:space="preserve">+ </m:t>
        </m:r>
        <m:sSub>
          <m:sSubPr>
            <m:ctrlPr>
              <w:rPr>
                <w:rFonts w:ascii="Cambria Math" w:cs="Cambria Math" w:eastAsia="Cambria Math" w:hAnsi="Cambria Math"/>
                <w:color w:val="000000"/>
                <w:sz w:val="7"/>
                <w:szCs w:val="7"/>
              </w:rPr>
            </m:ctrlPr>
          </m:sSubPr>
          <m:e>
            <m:r>
              <w:rPr>
                <w:rFonts w:ascii="Cambria Math" w:cs="Cambria Math" w:eastAsia="Cambria Math" w:hAnsi="Cambria Math"/>
                <w:color w:val="000000"/>
                <w:sz w:val="7"/>
                <w:szCs w:val="7"/>
              </w:rPr>
              <m:t>β</m:t>
            </m:r>
          </m:e>
          <m:sub>
            <m:r>
              <w:rPr>
                <w:rFonts w:ascii="Cambria Math" w:cs="Cambria Math" w:eastAsia="Cambria Math" w:hAnsi="Cambria Math"/>
                <w:color w:val="000000"/>
                <w:sz w:val="7"/>
                <w:szCs w:val="7"/>
              </w:rPr>
              <m:t xml:space="preserve">2</m:t>
            </m:r>
          </m:sub>
        </m:sSub>
        <m:r>
          <w:rPr>
            <w:rFonts w:ascii="Cambria Math" w:cs="Cambria Math" w:eastAsia="Cambria Math" w:hAnsi="Cambria Math"/>
            <w:color w:val="000000"/>
            <w:sz w:val="7"/>
            <w:szCs w:val="7"/>
          </w:rPr>
          <m:t xml:space="preserve">Кови</m:t>
        </m:r>
        <m:sSub>
          <m:sSubPr>
            <m:ctrlPr>
              <w:rPr>
                <w:rFonts w:ascii="Cambria Math" w:cs="Cambria Math" w:eastAsia="Cambria Math" w:hAnsi="Cambria Math"/>
                <w:color w:val="000000"/>
                <w:sz w:val="7"/>
                <w:szCs w:val="7"/>
              </w:rPr>
            </m:ctrlPr>
          </m:sSubPr>
          <m:e>
            <m:r>
              <w:rPr>
                <w:rFonts w:ascii="Cambria Math" w:cs="Cambria Math" w:eastAsia="Cambria Math" w:hAnsi="Cambria Math"/>
                <w:color w:val="000000"/>
                <w:sz w:val="7"/>
                <w:szCs w:val="7"/>
              </w:rPr>
              <m:t xml:space="preserve">д</m:t>
            </m:r>
          </m:e>
          <m:sub>
            <m:r>
              <w:rPr>
                <w:rFonts w:ascii="Cambria Math" w:cs="Cambria Math" w:eastAsia="Cambria Math" w:hAnsi="Cambria Math"/>
                <w:color w:val="000000"/>
                <w:sz w:val="7"/>
                <w:szCs w:val="7"/>
              </w:rPr>
              <m:t xml:space="preserve">t</m:t>
            </m:r>
          </m:sub>
        </m:sSub>
        <m:r>
          <w:rPr>
            <w:rFonts w:ascii="Cambria Math" w:cs="Cambria Math" w:eastAsia="Cambria Math" w:hAnsi="Cambria Math"/>
            <w:color w:val="000000"/>
            <w:sz w:val="7"/>
            <w:szCs w:val="7"/>
          </w:rPr>
          <m:t xml:space="preserve">+ </m:t>
        </m:r>
        <m:sSub>
          <m:sSubPr>
            <m:ctrlPr>
              <w:rPr>
                <w:rFonts w:ascii="Cambria Math" w:cs="Cambria Math" w:eastAsia="Cambria Math" w:hAnsi="Cambria Math"/>
                <w:color w:val="000000"/>
                <w:sz w:val="7"/>
                <w:szCs w:val="7"/>
              </w:rPr>
            </m:ctrlPr>
          </m:sSubPr>
          <m:e>
            <m:r>
              <w:rPr>
                <w:rFonts w:ascii="Cambria Math" w:cs="Cambria Math" w:eastAsia="Cambria Math" w:hAnsi="Cambria Math"/>
                <w:color w:val="000000"/>
                <w:sz w:val="7"/>
                <w:szCs w:val="7"/>
              </w:rPr>
              <m:t>β</m:t>
            </m:r>
          </m:e>
          <m:sub>
            <m:r>
              <w:rPr>
                <w:rFonts w:ascii="Cambria Math" w:cs="Cambria Math" w:eastAsia="Cambria Math" w:hAnsi="Cambria Math"/>
                <w:color w:val="000000"/>
                <w:sz w:val="7"/>
                <w:szCs w:val="7"/>
              </w:rPr>
              <m:t xml:space="preserve">3</m:t>
            </m:r>
          </m:sub>
        </m:sSub>
        <m:r>
          <w:rPr>
            <w:rFonts w:ascii="Cambria Math" w:cs="Cambria Math" w:eastAsia="Cambria Math" w:hAnsi="Cambria Math"/>
            <w:color w:val="000000"/>
            <w:sz w:val="7"/>
            <w:szCs w:val="7"/>
          </w:rPr>
          <m:t xml:space="preserve">Санкци</m:t>
        </m:r>
        <m:sSub>
          <m:sSubPr>
            <m:ctrlPr>
              <w:rPr>
                <w:rFonts w:ascii="Cambria Math" w:cs="Cambria Math" w:eastAsia="Cambria Math" w:hAnsi="Cambria Math"/>
                <w:color w:val="000000"/>
                <w:sz w:val="7"/>
                <w:szCs w:val="7"/>
              </w:rPr>
            </m:ctrlPr>
          </m:sSubPr>
          <m:e>
            <m:r>
              <w:rPr>
                <w:rFonts w:ascii="Cambria Math" w:cs="Cambria Math" w:eastAsia="Cambria Math" w:hAnsi="Cambria Math"/>
                <w:color w:val="000000"/>
                <w:sz w:val="7"/>
                <w:szCs w:val="7"/>
              </w:rPr>
              <m:t xml:space="preserve">и</m:t>
            </m:r>
          </m:e>
          <m:sub>
            <m:r>
              <w:rPr>
                <w:rFonts w:ascii="Cambria Math" w:cs="Cambria Math" w:eastAsia="Cambria Math" w:hAnsi="Cambria Math"/>
                <w:color w:val="000000"/>
                <w:sz w:val="7"/>
                <w:szCs w:val="7"/>
              </w:rPr>
              <m:t xml:space="preserve">t</m:t>
            </m:r>
          </m:sub>
        </m:sSub>
        <m:r>
          <w:rPr>
            <w:rFonts w:ascii="Cambria Math" w:cs="Cambria Math" w:eastAsia="Cambria Math" w:hAnsi="Cambria Math"/>
            <w:color w:val="000000"/>
            <w:sz w:val="7"/>
            <w:szCs w:val="7"/>
          </w:rPr>
          <m:t xml:space="preserve">+ </m:t>
        </m:r>
        <m:sSub>
          <m:sSubPr>
            <m:ctrlPr>
              <w:rPr>
                <w:rFonts w:ascii="Cambria Math" w:cs="Cambria Math" w:eastAsia="Cambria Math" w:hAnsi="Cambria Math"/>
                <w:color w:val="000000"/>
                <w:sz w:val="7"/>
                <w:szCs w:val="7"/>
              </w:rPr>
            </m:ctrlPr>
          </m:sSubPr>
          <m:e>
            <m:r>
              <w:rPr>
                <w:rFonts w:ascii="Cambria Math" w:cs="Cambria Math" w:eastAsia="Cambria Math" w:hAnsi="Cambria Math"/>
                <w:color w:val="000000"/>
                <w:sz w:val="7"/>
                <w:szCs w:val="7"/>
              </w:rPr>
              <m:t>β</m:t>
            </m:r>
          </m:e>
          <m:sub>
            <m:r>
              <w:rPr>
                <w:rFonts w:ascii="Cambria Math" w:cs="Cambria Math" w:eastAsia="Cambria Math" w:hAnsi="Cambria Math"/>
                <w:color w:val="000000"/>
                <w:sz w:val="7"/>
                <w:szCs w:val="7"/>
              </w:rPr>
              <m:t xml:space="preserve">4</m:t>
            </m:r>
          </m:sub>
        </m:sSub>
        <m:r>
          <w:rPr>
            <w:rFonts w:ascii="Cambria Math" w:cs="Cambria Math" w:eastAsia="Cambria Math" w:hAnsi="Cambria Math"/>
            <w:color w:val="000000"/>
            <w:sz w:val="7"/>
            <w:szCs w:val="7"/>
          </w:rPr>
          <m:t xml:space="preserve">ln</m:t>
        </m:r>
        <m:sSub>
          <m:sSubPr>
            <m:ctrlPr>
              <w:rPr>
                <w:rFonts w:ascii="Cambria Math" w:cs="Cambria Math" w:eastAsia="Cambria Math" w:hAnsi="Cambria Math"/>
                <w:color w:val="000000"/>
                <w:sz w:val="7"/>
                <w:szCs w:val="7"/>
              </w:rPr>
            </m:ctrlPr>
          </m:sSubPr>
          <m:e>
            <m:d>
              <m:dPr>
                <m:begChr m:val="("/>
                <m:endChr m:val=")"/>
                <m:ctrlPr>
                  <w:rPr>
                    <w:rFonts w:ascii="Cambria Math" w:cs="Cambria Math" w:eastAsia="Cambria Math" w:hAnsi="Cambria Math"/>
                    <w:color w:val="000000"/>
                    <w:sz w:val="7"/>
                    <w:szCs w:val="7"/>
                  </w:rPr>
                </m:ctrlPr>
              </m:dPr>
              <m:e>
                <m:r>
                  <w:rPr>
                    <w:rFonts w:ascii="Cambria Math" w:cs="Cambria Math" w:eastAsia="Cambria Math" w:hAnsi="Cambria Math"/>
                    <w:color w:val="000000"/>
                    <w:sz w:val="7"/>
                    <w:szCs w:val="7"/>
                  </w:rPr>
                  <m:t xml:space="preserve">курс</m:t>
                </m:r>
              </m:e>
            </m:d>
          </m:e>
          <m:sub>
            <m:r>
              <w:rPr>
                <w:rFonts w:ascii="Cambria Math" w:cs="Cambria Math" w:eastAsia="Cambria Math" w:hAnsi="Cambria Math"/>
                <w:color w:val="000000"/>
                <w:sz w:val="7"/>
                <w:szCs w:val="7"/>
              </w:rPr>
              <m:t xml:space="preserve">t</m:t>
            </m:r>
          </m:sub>
        </m:sSub>
        <m:r>
          <w:rPr>
            <w:rFonts w:ascii="Cambria Math" w:cs="Cambria Math" w:eastAsia="Cambria Math" w:hAnsi="Cambria Math"/>
            <w:color w:val="000000"/>
            <w:sz w:val="7"/>
            <w:szCs w:val="7"/>
          </w:rPr>
          <m:t xml:space="preserve">+ </m:t>
        </m:r>
        <m:sSub>
          <m:sSubPr>
            <m:ctrlPr>
              <w:rPr>
                <w:rFonts w:ascii="Cambria Math" w:cs="Cambria Math" w:eastAsia="Cambria Math" w:hAnsi="Cambria Math"/>
                <w:color w:val="000000"/>
                <w:sz w:val="7"/>
                <w:szCs w:val="7"/>
              </w:rPr>
            </m:ctrlPr>
          </m:sSubPr>
          <m:e>
            <m:r>
              <w:rPr>
                <w:rFonts w:ascii="Cambria Math" w:cs="Cambria Math" w:eastAsia="Cambria Math" w:hAnsi="Cambria Math"/>
                <w:color w:val="000000"/>
                <w:sz w:val="7"/>
                <w:szCs w:val="7"/>
              </w:rPr>
              <m:t>β</m:t>
            </m:r>
          </m:e>
          <m:sub>
            <m:r>
              <w:rPr>
                <w:rFonts w:ascii="Cambria Math" w:cs="Cambria Math" w:eastAsia="Cambria Math" w:hAnsi="Cambria Math"/>
                <w:color w:val="000000"/>
                <w:sz w:val="7"/>
                <w:szCs w:val="7"/>
              </w:rPr>
              <m:t xml:space="preserve">5</m:t>
            </m:r>
          </m:sub>
        </m:sSub>
        <m:r>
          <w:rPr>
            <w:rFonts w:ascii="Cambria Math" w:cs="Cambria Math" w:eastAsia="Cambria Math" w:hAnsi="Cambria Math"/>
            <w:color w:val="000000"/>
            <w:sz w:val="7"/>
            <w:szCs w:val="7"/>
          </w:rPr>
          <m:t xml:space="preserve">HH</m:t>
        </m:r>
        <m:sSub>
          <m:sSubPr>
            <m:ctrlPr>
              <w:rPr>
                <w:rFonts w:ascii="Cambria Math" w:cs="Cambria Math" w:eastAsia="Cambria Math" w:hAnsi="Cambria Math"/>
                <w:color w:val="000000"/>
                <w:sz w:val="7"/>
                <w:szCs w:val="7"/>
              </w:rPr>
            </m:ctrlPr>
          </m:sSubPr>
          <m:e>
            <m:r>
              <w:rPr>
                <w:rFonts w:ascii="Cambria Math" w:cs="Cambria Math" w:eastAsia="Cambria Math" w:hAnsi="Cambria Math"/>
                <w:color w:val="000000"/>
                <w:sz w:val="7"/>
                <w:szCs w:val="7"/>
              </w:rPr>
              <m:t xml:space="preserve">I</m:t>
            </m:r>
          </m:e>
          <m:sub>
            <m:r>
              <w:rPr>
                <w:rFonts w:ascii="Cambria Math" w:cs="Cambria Math" w:eastAsia="Cambria Math" w:hAnsi="Cambria Math"/>
                <w:color w:val="000000"/>
                <w:sz w:val="7"/>
                <w:szCs w:val="7"/>
              </w:rPr>
              <m:t xml:space="preserve">it</m:t>
            </m:r>
          </m:sub>
        </m:sSub>
        <m:r>
          <w:rPr>
            <w:rFonts w:ascii="Cambria Math" w:cs="Cambria Math" w:eastAsia="Cambria Math" w:hAnsi="Cambria Math"/>
            <w:color w:val="000000"/>
            <w:sz w:val="7"/>
            <w:szCs w:val="7"/>
          </w:rPr>
          <m:t xml:space="preserve">+ </m:t>
        </m:r>
        <m:sSub>
          <m:sSubPr>
            <m:ctrlPr>
              <w:rPr>
                <w:rFonts w:ascii="Cambria Math" w:cs="Cambria Math" w:eastAsia="Cambria Math" w:hAnsi="Cambria Math"/>
                <w:color w:val="000000"/>
                <w:sz w:val="7"/>
                <w:szCs w:val="7"/>
              </w:rPr>
            </m:ctrlPr>
          </m:sSubPr>
          <m:e>
            <m:r>
              <w:rPr>
                <w:rFonts w:ascii="Cambria Math" w:cs="Cambria Math" w:eastAsia="Cambria Math" w:hAnsi="Cambria Math"/>
                <w:color w:val="000000"/>
                <w:sz w:val="7"/>
                <w:szCs w:val="7"/>
              </w:rPr>
              <m:t>β</m:t>
            </m:r>
          </m:e>
          <m:sub>
            <m:r>
              <w:rPr>
                <w:rFonts w:ascii="Cambria Math" w:cs="Cambria Math" w:eastAsia="Cambria Math" w:hAnsi="Cambria Math"/>
                <w:color w:val="000000"/>
                <w:sz w:val="7"/>
                <w:szCs w:val="7"/>
              </w:rPr>
              <m:t xml:space="preserve">6</m:t>
            </m:r>
          </m:sub>
        </m:sSub>
        <m:r>
          <w:rPr>
            <w:rFonts w:ascii="Cambria Math" w:cs="Cambria Math" w:eastAsia="Cambria Math" w:hAnsi="Cambria Math"/>
            <w:color w:val="000000"/>
            <w:sz w:val="7"/>
            <w:szCs w:val="7"/>
          </w:rPr>
          <m:t xml:space="preserve">НедружПост</m:t>
        </m:r>
        <m:sSub>
          <m:sSubPr>
            <m:ctrlPr>
              <w:rPr>
                <w:rFonts w:ascii="Cambria Math" w:cs="Cambria Math" w:eastAsia="Cambria Math" w:hAnsi="Cambria Math"/>
                <w:color w:val="000000"/>
                <w:sz w:val="7"/>
                <w:szCs w:val="7"/>
              </w:rPr>
            </m:ctrlPr>
          </m:sSubPr>
          <m:e>
            <m:r>
              <w:rPr>
                <w:rFonts w:ascii="Cambria Math" w:cs="Cambria Math" w:eastAsia="Cambria Math" w:hAnsi="Cambria Math"/>
                <w:color w:val="000000"/>
                <w:sz w:val="7"/>
                <w:szCs w:val="7"/>
              </w:rPr>
              <m:t xml:space="preserve">2022</m:t>
            </m:r>
          </m:e>
          <m:sub>
            <m:r>
              <w:rPr>
                <w:rFonts w:ascii="Cambria Math" w:cs="Cambria Math" w:eastAsia="Cambria Math" w:hAnsi="Cambria Math"/>
                <w:color w:val="000000"/>
                <w:sz w:val="7"/>
                <w:szCs w:val="7"/>
              </w:rPr>
              <m:t xml:space="preserve">it</m:t>
            </m:r>
          </m:sub>
        </m:sSub>
        <m:r>
          <w:rPr>
            <w:rFonts w:ascii="Cambria Math" w:cs="Cambria Math" w:eastAsia="Cambria Math" w:hAnsi="Cambria Math"/>
            <w:color w:val="000000"/>
            <w:sz w:val="7"/>
            <w:szCs w:val="7"/>
          </w:rPr>
          <m:t xml:space="preserve">+</m:t>
        </m:r>
        <m:sSub>
          <m:sSubPr>
            <m:ctrlPr>
              <w:rPr>
                <w:rFonts w:ascii="Cambria Math" w:cs="Cambria Math" w:eastAsia="Cambria Math" w:hAnsi="Cambria Math"/>
                <w:color w:val="000000"/>
                <w:sz w:val="7"/>
                <w:szCs w:val="7"/>
              </w:rPr>
            </m:ctrlPr>
          </m:sSubPr>
          <m:e>
            <m:r>
              <w:rPr>
                <w:rFonts w:ascii="Cambria Math" w:cs="Cambria Math" w:eastAsia="Cambria Math" w:hAnsi="Cambria Math"/>
                <w:color w:val="000000"/>
                <w:sz w:val="7"/>
                <w:szCs w:val="7"/>
              </w:rPr>
              <m:t xml:space="preserve">e</m:t>
            </m:r>
          </m:e>
          <m:sub>
            <m:r>
              <w:rPr>
                <w:rFonts w:ascii="Cambria Math" w:cs="Cambria Math" w:eastAsia="Cambria Math" w:hAnsi="Cambria Math"/>
                <w:color w:val="000000"/>
                <w:sz w:val="7"/>
                <w:szCs w:val="7"/>
              </w:rPr>
              <m:t xml:space="preserve">it</m:t>
            </m:r>
          </m:sub>
        </m:sSub>
      </m:oMath>
      <w:r w:rsidDel="00000000" w:rsidR="00000000" w:rsidRPr="00000000">
        <w:rPr>
          <w:rtl w:val="0"/>
        </w:rPr>
      </w:r>
    </w:p>
    <w:p w:rsidR="00000000" w:rsidDel="00000000" w:rsidP="00000000" w:rsidRDefault="00000000" w:rsidRPr="00000000" w14:paraId="00000077">
      <w:pPr>
        <w:jc w:val="left"/>
        <w:rPr>
          <w:rFonts w:ascii="Cambria Math" w:cs="Cambria Math" w:eastAsia="Cambria Math" w:hAnsi="Cambria Math"/>
          <w:sz w:val="7"/>
          <w:szCs w:val="7"/>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где i обозначает препарат, а  t – период наблюдения. Базовым периодом в модели выступает 2019 год. В оценке используются робастные стандартные ошибки HC3.</w:t>
      </w:r>
    </w:p>
    <w:p w:rsidR="00000000" w:rsidDel="00000000" w:rsidP="00000000" w:rsidRDefault="00000000" w:rsidRPr="00000000" w14:paraId="00000079">
      <w:pPr>
        <w:ind w:firstLine="708"/>
        <w:jc w:val="both"/>
        <w:rPr/>
      </w:pPr>
      <w:r w:rsidDel="00000000" w:rsidR="00000000" w:rsidRPr="00000000">
        <w:rPr>
          <w:rtl w:val="0"/>
        </w:rPr>
        <w:t xml:space="preserve">Выбор логарифма цены в качестве зависимой переменной обусловлен несколькими причинами. Во-первых, распределение цен на фармацевтическом рынке, как правило, является асимметричным: часть препаратов существенно дороже других, поэтому использование логарифма позволяет снизить влияние крайних значений. Во-вторых, коэффициенты при объясняющих переменных в такой модели удобнее интерпретировать как приблизительное процентное изменение цены. В-третьих, логарифмирование делает зависимую переменную более сопоставимой между препаратами с разным уровнем цен. </w:t>
      </w:r>
    </w:p>
    <w:p w:rsidR="00000000" w:rsidDel="00000000" w:rsidP="00000000" w:rsidRDefault="00000000" w:rsidRPr="00000000" w14:paraId="0000007A">
      <w:pPr>
        <w:ind w:firstLine="708"/>
        <w:jc w:val="both"/>
        <w:rPr/>
      </w:pPr>
      <w:r w:rsidDel="00000000" w:rsidR="00000000" w:rsidRPr="00000000">
        <w:rPr>
          <w:rtl w:val="0"/>
        </w:rPr>
        <w:t xml:space="preserve">Переменная «Отечественный» является основной объясняющей переменной и принимает значение 1 для отечественных препаратов и 0 для импортных или локализованных аналогов. Коэффициент при этой переменной показывает, существует ли систематический ценовой дисконт для российских дженериков по сравнению с остальными препаратами.</w:t>
      </w:r>
    </w:p>
    <w:p w:rsidR="00000000" w:rsidDel="00000000" w:rsidP="00000000" w:rsidRDefault="00000000" w:rsidRPr="00000000" w14:paraId="0000007B">
      <w:pPr>
        <w:ind w:firstLine="708"/>
        <w:jc w:val="both"/>
        <w:rPr/>
      </w:pPr>
      <w:r w:rsidDel="00000000" w:rsidR="00000000" w:rsidRPr="00000000">
        <w:rPr>
          <w:rtl w:val="0"/>
        </w:rPr>
        <w:t xml:space="preserve">Переменные «Ковид» и «Санкции» вводятся как временные дамми. Переменная «Ковид» принимает значение 1 для 2020–2021 годов и позволяет учесть возможное влияние пандемии на общий уровень цен. Переменная «Санкции» принимает значение 1 для 2022 года и последующих периодов и отражает изменение рыночной среды после санкционного шока. Обе переменные не логарифмируются, поскольку являются бинарными индикаторами периодов.</w:t>
      </w:r>
    </w:p>
    <w:p w:rsidR="00000000" w:rsidDel="00000000" w:rsidP="00000000" w:rsidRDefault="00000000" w:rsidRPr="00000000" w14:paraId="0000007C">
      <w:pPr>
        <w:ind w:firstLine="708"/>
        <w:jc w:val="both"/>
        <w:rPr/>
      </w:pPr>
      <w:r w:rsidDel="00000000" w:rsidR="00000000" w:rsidRPr="00000000">
        <w:rPr>
          <w:rtl w:val="0"/>
        </w:rPr>
        <w:t xml:space="preserve">Переменная «ln(Курс)» отражает динамику валютного курса и включается в логарифмической форме. Такое преобразование позволяет интерпретировать коэффициент как эластичность цены по валютному курсу, то есть как изменение цены в процентах при изменении курса на 1%. Кроме того, логарифмирование снижает влияние резких скачков курса и делает оценку более устойчивой.</w:t>
      </w:r>
    </w:p>
    <w:p w:rsidR="00000000" w:rsidDel="00000000" w:rsidP="00000000" w:rsidRDefault="00000000" w:rsidRPr="00000000" w14:paraId="0000007D">
      <w:pPr>
        <w:ind w:firstLine="708"/>
        <w:jc w:val="both"/>
        <w:rPr/>
      </w:pPr>
      <w:r w:rsidDel="00000000" w:rsidR="00000000" w:rsidRPr="00000000">
        <w:rPr>
          <w:rtl w:val="0"/>
        </w:rPr>
        <w:t xml:space="preserve">Переменная «HHI» представляет собой индекс Херфиндаля–Хиршмана, измеряющий уровень концентрации внутри соответствующего действующего вещества. Чем выше значение HHI, тем более концентрирован рынок. Эта переменная не логарифмируется, поскольку уже представляет собой нормированный индекс в диапазоне от 0 до 1, и ее удобнее интерпретировать в исходной шкале.</w:t>
      </w:r>
    </w:p>
    <w:p w:rsidR="00000000" w:rsidDel="00000000" w:rsidP="00000000" w:rsidRDefault="00000000" w:rsidRPr="00000000" w14:paraId="0000007E">
      <w:pPr>
        <w:ind w:firstLine="708"/>
        <w:jc w:val="both"/>
        <w:rPr/>
      </w:pPr>
      <w:r w:rsidDel="00000000" w:rsidR="00000000" w:rsidRPr="00000000">
        <w:rPr>
          <w:rtl w:val="0"/>
        </w:rPr>
        <w:t xml:space="preserve">Переменная «НедружПост2022» представляет собой интеракцию между принадлежностью препарата к недружественной стране и постсанкционным периодом. Она позволяет оценить, изменилось ли ценовое поведение препаратов из этой группы после 2022 года. В содержательном смысле эта переменная используется как прокси для специфического эффекта санкционного периода на препараты из недружественных стран.</w:t>
      </w:r>
    </w:p>
    <w:p w:rsidR="00000000" w:rsidDel="00000000" w:rsidP="00000000" w:rsidRDefault="00000000" w:rsidRPr="00000000" w14:paraId="0000007F">
      <w:pPr>
        <w:ind w:firstLine="708"/>
        <w:jc w:val="both"/>
        <w:rPr/>
      </w:pPr>
      <w:r w:rsidDel="00000000" w:rsidR="00000000" w:rsidRPr="00000000">
        <w:rPr>
          <w:rtl w:val="0"/>
        </w:rPr>
        <w:t xml:space="preserve">Таким образом, базовая модель позволяет оценить, связан ли статус отечественного производителя с ценой препарата после учета общих временных шоков, валютной динамики и структуры конкуренции внутри соответствующего действующего вещества. Основной интерес для проверки H1 представляет коэффициент при переменной «Отечественный». Гипотезы H2 и H3 требуют расширенной спецификации модели и рассматриваются на следующем этапе анализа.</w:t>
      </w:r>
    </w:p>
    <w:p w:rsidR="00000000" w:rsidDel="00000000" w:rsidP="00000000" w:rsidRDefault="00000000" w:rsidRPr="00000000" w14:paraId="00000080">
      <w:pPr>
        <w:pageBreakBefore w:val="1"/>
        <w:spacing w:after="100" w:lineRule="auto"/>
        <w:jc w:val="center"/>
        <w:rPr/>
      </w:pPr>
      <w:r w:rsidDel="00000000" w:rsidR="00000000" w:rsidRPr="00000000">
        <w:rPr>
          <w:b w:val="1"/>
          <w:bCs w:val="1"/>
          <w:rtl w:val="0"/>
        </w:rPr>
        <w:t xml:space="preserve">4. Результаты</w:t>
      </w:r>
      <w:r w:rsidDel="00000000" w:rsidR="00000000" w:rsidRPr="00000000">
        <w:rPr>
          <w:rtl w:val="0"/>
        </w:rPr>
      </w:r>
    </w:p>
    <w:p w:rsidR="00000000" w:rsidDel="00000000" w:rsidP="00000000" w:rsidRDefault="00000000" w:rsidRPr="00000000" w14:paraId="00000081">
      <w:pPr>
        <w:ind w:firstLine="709"/>
        <w:jc w:val="both"/>
        <w:rPr/>
      </w:pPr>
      <w:r w:rsidDel="00000000" w:rsidR="00000000" w:rsidRPr="00000000">
        <w:rPr>
          <w:rtl w:val="0"/>
        </w:rPr>
        <w:t xml:space="preserve">Базовая регрессия оценена на 8281 наблюдении. R2 составил 0,056, что типично для регрессий с большим числом фиксированных эффектов. Результаты по основным переменным представлены в таблице 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0"/>
          <w:bCs w:val="0"/>
          <w:i w:val="1"/>
          <w:iCs w:val="1"/>
          <w:smallCaps w:val="0"/>
          <w:strike w:val="0"/>
          <w:color w:val="0e2841"/>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2"/>
          <w:szCs w:val="22"/>
          <w:u w:val="none"/>
          <w:shd w:fill="auto" w:val="clear"/>
          <w:vertAlign w:val="baseline"/>
          <w:rtl w:val="0"/>
        </w:rPr>
        <w:t xml:space="preserve">Таблица 2. Результаты базовой модели</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400"/>
        <w:gridCol w:w="1200"/>
        <w:gridCol w:w="3000"/>
        <w:tblGridChange w:id="0">
          <w:tblGrid>
            <w:gridCol w:w="2400"/>
            <w:gridCol w:w="1200"/>
            <w:gridCol w:w="1400"/>
            <w:gridCol w:w="120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4">
            <w:pPr>
              <w:jc w:val="center"/>
              <w:rPr>
                <w:color w:val="000000"/>
              </w:rPr>
            </w:pPr>
            <w:r w:rsidDel="00000000" w:rsidR="00000000" w:rsidRPr="00000000">
              <w:rPr>
                <w:b w:val="1"/>
                <w:bCs w:val="1"/>
                <w:color w:val="000000"/>
                <w:sz w:val="20"/>
                <w:szCs w:val="20"/>
                <w:rtl w:val="0"/>
              </w:rPr>
              <w:t xml:space="preserve">Переменная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5">
            <w:pPr>
              <w:jc w:val="center"/>
              <w:rPr>
                <w:color w:val="000000"/>
              </w:rPr>
            </w:pPr>
            <w:r w:rsidDel="00000000" w:rsidR="00000000" w:rsidRPr="00000000">
              <w:rPr>
                <w:b w:val="1"/>
                <w:bCs w:val="1"/>
                <w:color w:val="000000"/>
                <w:sz w:val="20"/>
                <w:szCs w:val="20"/>
                <w:rtl w:val="0"/>
              </w:rPr>
              <w:t xml:space="preserve">Коэф.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6">
            <w:pPr>
              <w:jc w:val="center"/>
              <w:rPr>
                <w:color w:val="000000"/>
              </w:rPr>
            </w:pPr>
            <w:r w:rsidDel="00000000" w:rsidR="00000000" w:rsidRPr="00000000">
              <w:rPr>
                <w:b w:val="1"/>
                <w:bCs w:val="1"/>
                <w:color w:val="000000"/>
                <w:sz w:val="20"/>
                <w:szCs w:val="20"/>
                <w:rtl w:val="0"/>
              </w:rPr>
              <w:t xml:space="preserve">Эффект на цену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7">
            <w:pPr>
              <w:jc w:val="center"/>
              <w:rPr>
                <w:color w:val="000000"/>
              </w:rPr>
            </w:pPr>
            <w:r w:rsidDel="00000000" w:rsidR="00000000" w:rsidRPr="00000000">
              <w:rPr>
                <w:b w:val="1"/>
                <w:bCs w:val="1"/>
                <w:color w:val="000000"/>
                <w:sz w:val="20"/>
                <w:szCs w:val="20"/>
                <w:rtl w:val="0"/>
              </w:rPr>
              <w:t xml:space="preserve">p-value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8">
            <w:pPr>
              <w:jc w:val="center"/>
              <w:rPr>
                <w:color w:val="000000"/>
              </w:rPr>
            </w:pPr>
            <w:r w:rsidDel="00000000" w:rsidR="00000000" w:rsidRPr="00000000">
              <w:rPr>
                <w:b w:val="1"/>
                <w:bCs w:val="1"/>
                <w:color w:val="000000"/>
                <w:sz w:val="20"/>
                <w:szCs w:val="20"/>
                <w:rtl w:val="0"/>
              </w:rPr>
              <w:t xml:space="preserve">Интерпретация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9">
            <w:pPr>
              <w:jc w:val="center"/>
              <w:rPr/>
            </w:pPr>
            <w:r w:rsidDel="00000000" w:rsidR="00000000" w:rsidRPr="00000000">
              <w:rPr>
                <w:sz w:val="20"/>
                <w:szCs w:val="20"/>
                <w:rtl w:val="0"/>
              </w:rPr>
              <w:t xml:space="preserve">Отечественный (основная)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A">
            <w:pPr>
              <w:jc w:val="center"/>
              <w:rPr/>
            </w:pPr>
            <w:r w:rsidDel="00000000" w:rsidR="00000000" w:rsidRPr="00000000">
              <w:rPr>
                <w:sz w:val="20"/>
                <w:szCs w:val="20"/>
                <w:rtl w:val="0"/>
              </w:rPr>
              <w:t xml:space="preserve">-0.524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B">
            <w:pPr>
              <w:jc w:val="center"/>
              <w:rPr/>
            </w:pPr>
            <w:r w:rsidDel="00000000" w:rsidR="00000000" w:rsidRPr="00000000">
              <w:rPr>
                <w:sz w:val="20"/>
                <w:szCs w:val="20"/>
                <w:rtl w:val="0"/>
              </w:rPr>
              <w:t xml:space="preserve">-40.8%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C">
            <w:pPr>
              <w:jc w:val="center"/>
              <w:rPr/>
            </w:pPr>
            <w:r w:rsidDel="00000000" w:rsidR="00000000" w:rsidRPr="00000000">
              <w:rPr>
                <w:sz w:val="20"/>
                <w:szCs w:val="20"/>
                <w:rtl w:val="0"/>
              </w:rPr>
              <w:t xml:space="preserve">0.004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D">
            <w:pPr>
              <w:jc w:val="center"/>
              <w:rPr/>
            </w:pPr>
            <w:r w:rsidDel="00000000" w:rsidR="00000000" w:rsidRPr="00000000">
              <w:rPr>
                <w:sz w:val="20"/>
                <w:szCs w:val="20"/>
                <w:rtl w:val="0"/>
              </w:rPr>
              <w:t xml:space="preserve">Отечественные дешевле импортных на 40.8%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E">
            <w:pPr>
              <w:jc w:val="center"/>
              <w:rPr/>
            </w:pPr>
            <w:r w:rsidDel="00000000" w:rsidR="00000000" w:rsidRPr="00000000">
              <w:rPr>
                <w:sz w:val="20"/>
                <w:szCs w:val="20"/>
                <w:rtl w:val="0"/>
              </w:rPr>
              <w:t xml:space="preserve">Санкции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8F">
            <w:pPr>
              <w:jc w:val="center"/>
              <w:rPr/>
            </w:pPr>
            <w:r w:rsidDel="00000000" w:rsidR="00000000" w:rsidRPr="00000000">
              <w:rPr>
                <w:sz w:val="20"/>
                <w:szCs w:val="20"/>
                <w:rtl w:val="0"/>
              </w:rPr>
              <w:t xml:space="preserve">+0.367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0">
            <w:pPr>
              <w:jc w:val="center"/>
              <w:rPr/>
            </w:pPr>
            <w:r w:rsidDel="00000000" w:rsidR="00000000" w:rsidRPr="00000000">
              <w:rPr>
                <w:sz w:val="20"/>
                <w:szCs w:val="20"/>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1">
            <w:pPr>
              <w:jc w:val="center"/>
              <w:rPr/>
            </w:pPr>
            <w:r w:rsidDel="00000000" w:rsidR="00000000" w:rsidRPr="00000000">
              <w:rPr>
                <w:sz w:val="20"/>
                <w:szCs w:val="20"/>
                <w:rtl w:val="0"/>
              </w:rPr>
              <w:t xml:space="preserve">0.000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2">
            <w:pPr>
              <w:jc w:val="center"/>
              <w:rPr/>
            </w:pPr>
            <w:r w:rsidDel="00000000" w:rsidR="00000000" w:rsidRPr="00000000">
              <w:rPr>
                <w:sz w:val="20"/>
                <w:szCs w:val="20"/>
                <w:rtl w:val="0"/>
              </w:rPr>
              <w:t xml:space="preserve">Санкционный шок поднял цены на 44.3%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3">
            <w:pPr>
              <w:jc w:val="center"/>
              <w:rPr/>
            </w:pPr>
            <w:r w:rsidDel="00000000" w:rsidR="00000000" w:rsidRPr="00000000">
              <w:rPr>
                <w:sz w:val="20"/>
                <w:szCs w:val="20"/>
                <w:rtl w:val="0"/>
              </w:rPr>
              <w:t xml:space="preserve">HHI (концентрация)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4">
            <w:pPr>
              <w:jc w:val="center"/>
              <w:rPr/>
            </w:pPr>
            <w:r w:rsidDel="00000000" w:rsidR="00000000" w:rsidRPr="00000000">
              <w:rPr>
                <w:sz w:val="20"/>
                <w:szCs w:val="20"/>
                <w:rtl w:val="0"/>
              </w:rPr>
              <w:t xml:space="preserve">-0.476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5">
            <w:pPr>
              <w:jc w:val="center"/>
              <w:rPr/>
            </w:pPr>
            <w:r w:rsidDel="00000000" w:rsidR="00000000" w:rsidRPr="00000000">
              <w:rPr>
                <w:sz w:val="20"/>
                <w:szCs w:val="20"/>
                <w:rtl w:val="0"/>
              </w:rPr>
              <w:t xml:space="preserve">-37.9%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6">
            <w:pPr>
              <w:jc w:val="center"/>
              <w:rPr/>
            </w:pPr>
            <w:r w:rsidDel="00000000" w:rsidR="00000000" w:rsidRPr="00000000">
              <w:rPr>
                <w:sz w:val="20"/>
                <w:szCs w:val="20"/>
                <w:rtl w:val="0"/>
              </w:rPr>
              <w:t xml:space="preserve">0.000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7">
            <w:pPr>
              <w:jc w:val="center"/>
              <w:rPr/>
            </w:pPr>
            <w:r w:rsidDel="00000000" w:rsidR="00000000" w:rsidRPr="00000000">
              <w:rPr>
                <w:sz w:val="20"/>
                <w:szCs w:val="20"/>
                <w:rtl w:val="0"/>
              </w:rPr>
              <w:t xml:space="preserve">Конкуренция снижает цену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8">
            <w:pPr>
              <w:jc w:val="center"/>
              <w:rPr/>
            </w:pPr>
            <w:r w:rsidDel="00000000" w:rsidR="00000000" w:rsidRPr="00000000">
              <w:rPr>
                <w:sz w:val="20"/>
                <w:szCs w:val="20"/>
                <w:rtl w:val="0"/>
              </w:rPr>
              <w:t xml:space="preserve">Недруж. страна x пост-2022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9">
            <w:pPr>
              <w:jc w:val="center"/>
              <w:rPr/>
            </w:pPr>
            <w:r w:rsidDel="00000000" w:rsidR="00000000" w:rsidRPr="00000000">
              <w:rPr>
                <w:sz w:val="20"/>
                <w:szCs w:val="20"/>
                <w:rtl w:val="0"/>
              </w:rPr>
              <w:t xml:space="preserve">-0.205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A">
            <w:pPr>
              <w:jc w:val="center"/>
              <w:rPr/>
            </w:pPr>
            <w:r w:rsidDel="00000000" w:rsidR="00000000" w:rsidRPr="00000000">
              <w:rPr>
                <w:sz w:val="20"/>
                <w:szCs w:val="20"/>
                <w:rtl w:val="0"/>
              </w:rPr>
              <w:t xml:space="preserve">-18.5%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B">
            <w:pPr>
              <w:jc w:val="center"/>
              <w:rPr/>
            </w:pPr>
            <w:r w:rsidDel="00000000" w:rsidR="00000000" w:rsidRPr="00000000">
              <w:rPr>
                <w:sz w:val="20"/>
                <w:szCs w:val="20"/>
                <w:rtl w:val="0"/>
              </w:rPr>
              <w:t xml:space="preserve">0.013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C">
            <w:pPr>
              <w:jc w:val="center"/>
              <w:rPr/>
            </w:pPr>
            <w:r w:rsidDel="00000000" w:rsidR="00000000" w:rsidRPr="00000000">
              <w:rPr>
                <w:sz w:val="20"/>
                <w:szCs w:val="20"/>
                <w:rtl w:val="0"/>
              </w:rPr>
              <w:t xml:space="preserve">Параллельный импорт снизил цены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D">
            <w:pPr>
              <w:jc w:val="center"/>
              <w:rPr/>
            </w:pPr>
            <w:r w:rsidDel="00000000" w:rsidR="00000000" w:rsidRPr="00000000">
              <w:rPr>
                <w:sz w:val="20"/>
                <w:szCs w:val="20"/>
                <w:rtl w:val="0"/>
              </w:rPr>
              <w:t xml:space="preserve">Ковид (2020-2021)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E">
            <w:pPr>
              <w:jc w:val="center"/>
              <w:rPr/>
            </w:pPr>
            <w:r w:rsidDel="00000000" w:rsidR="00000000" w:rsidRPr="00000000">
              <w:rPr>
                <w:sz w:val="20"/>
                <w:szCs w:val="20"/>
                <w:rtl w:val="0"/>
              </w:rPr>
              <w:t xml:space="preserve">+0.015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9F">
            <w:pPr>
              <w:jc w:val="center"/>
              <w:rPr/>
            </w:pPr>
            <w:r w:rsidDel="00000000" w:rsidR="00000000" w:rsidRPr="00000000">
              <w:rPr>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A0">
            <w:pPr>
              <w:jc w:val="center"/>
              <w:rPr/>
            </w:pPr>
            <w:r w:rsidDel="00000000" w:rsidR="00000000" w:rsidRPr="00000000">
              <w:rPr>
                <w:sz w:val="20"/>
                <w:szCs w:val="20"/>
                <w:rtl w:val="0"/>
              </w:rPr>
              <w:t xml:space="preserve">0.844 (н/з)</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0A1">
            <w:pPr>
              <w:jc w:val="center"/>
              <w:rPr/>
            </w:pPr>
            <w:r w:rsidDel="00000000" w:rsidR="00000000" w:rsidRPr="00000000">
              <w:rPr>
                <w:sz w:val="20"/>
                <w:szCs w:val="20"/>
                <w:rtl w:val="0"/>
              </w:rPr>
              <w:t xml:space="preserve">Цены не отреагировали на ковид</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ind w:firstLine="709"/>
        <w:jc w:val="both"/>
        <w:rPr/>
      </w:pPr>
      <w:r w:rsidDel="00000000" w:rsidR="00000000" w:rsidRPr="00000000">
        <w:rPr>
          <w:rtl w:val="0"/>
        </w:rPr>
        <w:t xml:space="preserve">Стандартные ошибки робастные (HC3). N = 8281. R2 = 0,056. Зависимая переменная - ln(цена за грамм ДВ). Базовый период - 2019 год.</w:t>
      </w:r>
    </w:p>
    <w:p w:rsidR="00000000" w:rsidDel="00000000" w:rsidP="00000000" w:rsidRDefault="00000000" w:rsidRPr="00000000" w14:paraId="000000A4">
      <w:pPr>
        <w:ind w:firstLine="709"/>
        <w:jc w:val="both"/>
        <w:rPr/>
      </w:pPr>
      <w:r w:rsidDel="00000000" w:rsidR="00000000" w:rsidRPr="00000000">
        <w:rPr>
          <w:rtl w:val="0"/>
        </w:rPr>
        <w:t xml:space="preserve">Базовая регрессия показывает, что коэффициент при переменной «Отечественный» составляет -0.524 и статистически значим на 1%-м уровне (p = 0.004). Это означает, что отечественные препараты в среднем стоят примерно на 40,8% дешевле импортных аналогов. Таким образом, базовая модель подтверждает гипотезу H1 о наличии отрицательного эффекта страны происхождения для российских дженериков.</w:t>
      </w:r>
    </w:p>
    <w:p w:rsidR="00000000" w:rsidDel="00000000" w:rsidP="00000000" w:rsidRDefault="00000000" w:rsidRPr="00000000" w14:paraId="000000A5">
      <w:pPr>
        <w:ind w:firstLine="709"/>
        <w:jc w:val="both"/>
        <w:rPr/>
      </w:pPr>
      <w:r w:rsidDel="00000000" w:rsidR="00000000" w:rsidRPr="00000000">
        <w:rPr>
          <w:rtl w:val="0"/>
        </w:rPr>
        <w:t xml:space="preserve">Коэффициент при переменной «Санкции (2022+)» положителен и статистически значим (0.367; p &lt; 0.001). Это указывает на то, что после 2022 года общий уровень цен в выборке был выше, чем в базовом периоде. В процентной интерпретации это соответствует росту примерно на 44,3%.</w:t>
      </w:r>
    </w:p>
    <w:p w:rsidR="00000000" w:rsidDel="00000000" w:rsidP="00000000" w:rsidRDefault="00000000" w:rsidRPr="00000000" w14:paraId="000000A6">
      <w:pPr>
        <w:ind w:firstLine="709"/>
        <w:jc w:val="both"/>
        <w:rPr/>
      </w:pPr>
      <w:r w:rsidDel="00000000" w:rsidR="00000000" w:rsidRPr="00000000">
        <w:rPr>
          <w:rtl w:val="0"/>
        </w:rPr>
        <w:t xml:space="preserve">Переменная HHI имеет отрицательный и статистически значимый коэффициент (-0.476; p &lt; 0.001). Это означает, что в данной выборке более высокая концентрация внутри соответствующего действующего вещества связана с более низким уровнем цен. Полученный результат требует осторожной интерпретации и не позволяет автоматически делать вывод о конкретном механизме конкуренции.</w:t>
      </w:r>
    </w:p>
    <w:p w:rsidR="00000000" w:rsidDel="00000000" w:rsidP="00000000" w:rsidRDefault="00000000" w:rsidRPr="00000000" w14:paraId="000000A7">
      <w:pPr>
        <w:ind w:firstLine="709"/>
        <w:jc w:val="both"/>
        <w:rPr/>
      </w:pPr>
      <w:r w:rsidDel="00000000" w:rsidR="00000000" w:rsidRPr="00000000">
        <w:rPr>
          <w:rtl w:val="0"/>
        </w:rPr>
        <w:t xml:space="preserve">Коэффициент при переменной «Недруж. страна × пост-2022» также отрицателен и статистически значим (-0.205; p = 0.013). Это показывает, что после 2022 года препараты из данной группы стран были связаны с более низким уровнем цен по сравнению с базовой категорией. В процентной интерпретации эта разница составляет около 18,5%.</w:t>
      </w:r>
    </w:p>
    <w:p w:rsidR="00000000" w:rsidDel="00000000" w:rsidP="00000000" w:rsidRDefault="00000000" w:rsidRPr="00000000" w14:paraId="000000A8">
      <w:pPr>
        <w:ind w:firstLine="709"/>
        <w:jc w:val="both"/>
        <w:rPr/>
      </w:pPr>
      <w:r w:rsidDel="00000000" w:rsidR="00000000" w:rsidRPr="00000000">
        <w:rPr>
          <w:rtl w:val="0"/>
        </w:rPr>
        <w:t xml:space="preserve">Переменная «Ковид (2020–2021)» имеет положительный, но статистически незначимый коэффициент (0.015; p = 0.844). Это означает, что в рамках данной модели не выявлено статистически значимого влияния ковидного периода на уровень цен.</w:t>
      </w:r>
    </w:p>
    <w:p w:rsidR="00000000" w:rsidDel="00000000" w:rsidP="00000000" w:rsidRDefault="00000000" w:rsidRPr="00000000" w14:paraId="000000A9">
      <w:pPr>
        <w:pageBreakBefore w:val="1"/>
        <w:spacing w:after="100" w:lineRule="auto"/>
        <w:jc w:val="center"/>
        <w:rPr/>
      </w:pPr>
      <w:r w:rsidDel="00000000" w:rsidR="00000000" w:rsidRPr="00000000">
        <w:rPr>
          <w:b w:val="1"/>
          <w:bCs w:val="1"/>
          <w:rtl w:val="0"/>
        </w:rPr>
        <w:t xml:space="preserve">5. Заключение</w:t>
      </w:r>
      <w:r w:rsidDel="00000000" w:rsidR="00000000" w:rsidRPr="00000000">
        <w:rPr>
          <w:rtl w:val="0"/>
        </w:rPr>
      </w:r>
    </w:p>
    <w:p w:rsidR="00000000" w:rsidDel="00000000" w:rsidP="00000000" w:rsidRDefault="00000000" w:rsidRPr="00000000" w14:paraId="000000AA">
      <w:pPr>
        <w:pageBreakBefore w:val="1"/>
        <w:spacing w:after="100" w:lineRule="auto"/>
        <w:jc w:val="center"/>
        <w:rPr/>
      </w:pPr>
      <w:r w:rsidDel="00000000" w:rsidR="00000000" w:rsidRPr="00000000">
        <w:rPr>
          <w:b w:val="1"/>
          <w:bCs w:val="1"/>
          <w:rtl w:val="0"/>
        </w:rPr>
        <w:t xml:space="preserve">Список литературы</w:t>
      </w:r>
      <w:r w:rsidDel="00000000" w:rsidR="00000000" w:rsidRPr="00000000">
        <w:rPr>
          <w:rtl w:val="0"/>
        </w:rPr>
      </w:r>
    </w:p>
    <w:p w:rsidR="00000000" w:rsidDel="00000000" w:rsidP="00000000" w:rsidRDefault="00000000" w:rsidRPr="00000000" w14:paraId="000000AB">
      <w:pPr>
        <w:spacing w:line="276" w:lineRule="auto"/>
        <w:ind w:left="1080" w:hanging="360"/>
        <w:jc w:val="both"/>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ВЦИОМ. Отношение потребителей к отечественным и импортным лекарственным препаратам [Электронный ресурс]. — Москва: ВЦИОМ, 2023. — URL: https://wciom.ru (дата обращения: 01.03.2026).</w:t>
      </w:r>
    </w:p>
    <w:p w:rsidR="00000000" w:rsidDel="00000000" w:rsidP="00000000" w:rsidRDefault="00000000" w:rsidRPr="00000000" w14:paraId="000000AC">
      <w:pPr>
        <w:spacing w:line="276" w:lineRule="auto"/>
        <w:ind w:left="1080" w:hanging="360"/>
        <w:jc w:val="both"/>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Государственный реестр лекарственных средств [Электронный ресурс] / Министерство здравоохранения Российской Федерации. — URL: https://grls.rosminzdrav.ru (дата обращения: 01.03.2026).</w:t>
      </w:r>
    </w:p>
    <w:p w:rsidR="00000000" w:rsidDel="00000000" w:rsidP="00000000" w:rsidRDefault="00000000" w:rsidRPr="00000000" w14:paraId="000000AD">
      <w:pPr>
        <w:spacing w:line="276" w:lineRule="auto"/>
        <w:ind w:left="1080" w:hanging="360"/>
        <w:jc w:val="both"/>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Agrawal J., Kamakura W. A. Country of origin: A competitive advantage? // </w:t>
      </w:r>
      <w:r w:rsidDel="00000000" w:rsidR="00000000" w:rsidRPr="00000000">
        <w:rPr>
          <w:i w:val="1"/>
          <w:iCs w:val="1"/>
          <w:rtl w:val="0"/>
        </w:rPr>
        <w:t xml:space="preserve">International Journal of Research in Marketing</w:t>
      </w:r>
      <w:r w:rsidDel="00000000" w:rsidR="00000000" w:rsidRPr="00000000">
        <w:rPr>
          <w:rtl w:val="0"/>
        </w:rPr>
        <w:t xml:space="preserve">. — 1999. — Vol. 16, № 4. — P. 255–267.</w:t>
      </w:r>
    </w:p>
    <w:p w:rsidR="00000000" w:rsidDel="00000000" w:rsidP="00000000" w:rsidRDefault="00000000" w:rsidRPr="00000000" w14:paraId="000000AE">
      <w:pPr>
        <w:spacing w:line="276" w:lineRule="auto"/>
        <w:ind w:left="1080" w:hanging="360"/>
        <w:jc w:val="both"/>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Danzon P. M., Chao L.-W. Cross-national price differences for pharmaceuticals: How large, and why? // </w:t>
      </w:r>
      <w:r w:rsidDel="00000000" w:rsidR="00000000" w:rsidRPr="00000000">
        <w:rPr>
          <w:i w:val="1"/>
          <w:iCs w:val="1"/>
          <w:rtl w:val="0"/>
        </w:rPr>
        <w:t xml:space="preserve">Journal of Health Economics</w:t>
      </w:r>
      <w:r w:rsidDel="00000000" w:rsidR="00000000" w:rsidRPr="00000000">
        <w:rPr>
          <w:rtl w:val="0"/>
        </w:rPr>
        <w:t xml:space="preserve">. — 2000. — Vol. 19, № 2. — P. 159–195.</w:t>
      </w:r>
    </w:p>
    <w:p w:rsidR="00000000" w:rsidDel="00000000" w:rsidP="00000000" w:rsidRDefault="00000000" w:rsidRPr="00000000" w14:paraId="000000AF">
      <w:pPr>
        <w:spacing w:line="276" w:lineRule="auto"/>
        <w:ind w:left="1080" w:hanging="360"/>
        <w:jc w:val="both"/>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Danzon P. M., Furukawa M. F. Prices and availability of pharmaceuticals: Evidence from nine countries // </w:t>
      </w:r>
      <w:r w:rsidDel="00000000" w:rsidR="00000000" w:rsidRPr="00000000">
        <w:rPr>
          <w:i w:val="1"/>
          <w:iCs w:val="1"/>
          <w:rtl w:val="0"/>
        </w:rPr>
        <w:t xml:space="preserve">Health Affairs</w:t>
      </w:r>
      <w:r w:rsidDel="00000000" w:rsidR="00000000" w:rsidRPr="00000000">
        <w:rPr>
          <w:rtl w:val="0"/>
        </w:rPr>
        <w:t xml:space="preserve">. — 2003. — Vol. 22, Suppl. — P. W3-521–W3-536.</w:t>
      </w:r>
    </w:p>
    <w:p w:rsidR="00000000" w:rsidDel="00000000" w:rsidP="00000000" w:rsidRDefault="00000000" w:rsidRPr="00000000" w14:paraId="000000B0">
      <w:pPr>
        <w:spacing w:line="276" w:lineRule="auto"/>
        <w:ind w:left="1080" w:hanging="360"/>
        <w:jc w:val="both"/>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Koschate-Fischer N., Diamantopoulos A., Oldenkotte K. Are consumers really willing to pay more for a favorable country image? // </w:t>
      </w:r>
      <w:r w:rsidDel="00000000" w:rsidR="00000000" w:rsidRPr="00000000">
        <w:rPr>
          <w:i w:val="1"/>
          <w:iCs w:val="1"/>
          <w:rtl w:val="0"/>
        </w:rPr>
        <w:t xml:space="preserve">Journal of International Marketing</w:t>
      </w:r>
      <w:r w:rsidDel="00000000" w:rsidR="00000000" w:rsidRPr="00000000">
        <w:rPr>
          <w:rtl w:val="0"/>
        </w:rPr>
        <w:t xml:space="preserve">. — 2012. — Vol. 20, № 1. — P. 19–41.</w:t>
      </w:r>
    </w:p>
    <w:p w:rsidR="00000000" w:rsidDel="00000000" w:rsidP="00000000" w:rsidRDefault="00000000" w:rsidRPr="00000000" w14:paraId="000000B1">
      <w:pPr>
        <w:spacing w:line="276" w:lineRule="auto"/>
        <w:ind w:left="1080" w:hanging="360"/>
        <w:jc w:val="both"/>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rtl w:val="0"/>
        </w:rPr>
        <w:t xml:space="preserve">Peterson R. A., Jolibert A. J. P. A meta-analysis of country-of-origin effects // </w:t>
      </w:r>
      <w:r w:rsidDel="00000000" w:rsidR="00000000" w:rsidRPr="00000000">
        <w:rPr>
          <w:i w:val="1"/>
          <w:iCs w:val="1"/>
          <w:rtl w:val="0"/>
        </w:rPr>
        <w:t xml:space="preserve">Journal of International Business Studies</w:t>
      </w:r>
      <w:r w:rsidDel="00000000" w:rsidR="00000000" w:rsidRPr="00000000">
        <w:rPr>
          <w:rtl w:val="0"/>
        </w:rPr>
        <w:t xml:space="preserve">. — 1995. — Vol. 26, № 4. — P. 883–900.</w:t>
      </w:r>
    </w:p>
    <w:p w:rsidR="00000000" w:rsidDel="00000000" w:rsidP="00000000" w:rsidRDefault="00000000" w:rsidRPr="00000000" w14:paraId="000000B2">
      <w:pPr>
        <w:spacing w:line="276" w:lineRule="auto"/>
        <w:ind w:left="1080" w:hanging="360"/>
        <w:jc w:val="both"/>
        <w:rPr/>
      </w:pPr>
      <w:r w:rsidDel="00000000" w:rsidR="00000000" w:rsidRPr="00000000">
        <w:rPr>
          <w:rtl w:val="0"/>
        </w:rPr>
        <w:t xml:space="preserve">8.</w:t>
      </w:r>
      <w:r w:rsidDel="00000000" w:rsidR="00000000" w:rsidRPr="00000000">
        <w:rPr>
          <w:sz w:val="14"/>
          <w:szCs w:val="14"/>
          <w:rtl w:val="0"/>
        </w:rPr>
        <w:t xml:space="preserve">     </w:t>
        <w:tab/>
      </w:r>
      <w:r w:rsidDel="00000000" w:rsidR="00000000" w:rsidRPr="00000000">
        <w:rPr>
          <w:rtl w:val="0"/>
        </w:rPr>
        <w:t xml:space="preserve">Sanyal P., Datta S. K. The effect of country of origin on brand equity: The case of generics // </w:t>
      </w:r>
      <w:r w:rsidDel="00000000" w:rsidR="00000000" w:rsidRPr="00000000">
        <w:rPr>
          <w:i w:val="1"/>
          <w:iCs w:val="1"/>
          <w:rtl w:val="0"/>
        </w:rPr>
        <w:t xml:space="preserve">Journal of Economic Studies</w:t>
      </w:r>
      <w:r w:rsidDel="00000000" w:rsidR="00000000" w:rsidRPr="00000000">
        <w:rPr>
          <w:rtl w:val="0"/>
        </w:rPr>
        <w:t xml:space="preserve">. — 2011. — Vol. 38, № 2. — P. 225–247.</w:t>
      </w:r>
    </w:p>
    <w:p w:rsidR="00000000" w:rsidDel="00000000" w:rsidP="00000000" w:rsidRDefault="00000000" w:rsidRPr="00000000" w14:paraId="000000B3">
      <w:pPr>
        <w:spacing w:line="276" w:lineRule="auto"/>
        <w:ind w:left="1080" w:hanging="360"/>
        <w:jc w:val="both"/>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Schooler R. D. Product bias in the Central American common market // </w:t>
      </w:r>
      <w:r w:rsidDel="00000000" w:rsidR="00000000" w:rsidRPr="00000000">
        <w:rPr>
          <w:i w:val="1"/>
          <w:iCs w:val="1"/>
          <w:rtl w:val="0"/>
        </w:rPr>
        <w:t xml:space="preserve">Journal of Marketing Research</w:t>
      </w:r>
      <w:r w:rsidDel="00000000" w:rsidR="00000000" w:rsidRPr="00000000">
        <w:rPr>
          <w:rtl w:val="0"/>
        </w:rPr>
        <w:t xml:space="preserve">. — 1965. — Vol. 2, № 4. — P. 394–397.</w:t>
      </w:r>
    </w:p>
    <w:p w:rsidR="00000000" w:rsidDel="00000000" w:rsidP="00000000" w:rsidRDefault="00000000" w:rsidRPr="00000000" w14:paraId="000000B4">
      <w:pPr>
        <w:spacing w:line="276" w:lineRule="auto"/>
        <w:ind w:left="1080" w:hanging="360"/>
        <w:jc w:val="both"/>
        <w:rPr/>
      </w:pPr>
      <w:r w:rsidDel="00000000" w:rsidR="00000000" w:rsidRPr="00000000">
        <w:rPr>
          <w:rtl w:val="0"/>
        </w:rPr>
        <w:t xml:space="preserve">10.</w:t>
      </w:r>
      <w:r w:rsidDel="00000000" w:rsidR="00000000" w:rsidRPr="00000000">
        <w:rPr>
          <w:sz w:val="14"/>
          <w:szCs w:val="14"/>
          <w:rtl w:val="0"/>
        </w:rPr>
        <w:t xml:space="preserve"> </w:t>
        <w:tab/>
      </w:r>
      <w:r w:rsidDel="00000000" w:rsidR="00000000" w:rsidRPr="00000000">
        <w:rPr>
          <w:rtl w:val="0"/>
        </w:rPr>
        <w:t xml:space="preserve">Verlegh P. W. J., Steenkamp J.-B. E. M. A review and meta-analysis of country-of-origin research // </w:t>
      </w:r>
      <w:r w:rsidDel="00000000" w:rsidR="00000000" w:rsidRPr="00000000">
        <w:rPr>
          <w:i w:val="1"/>
          <w:iCs w:val="1"/>
          <w:rtl w:val="0"/>
        </w:rPr>
        <w:t xml:space="preserve">Journal of Economic Psychology</w:t>
      </w:r>
      <w:r w:rsidDel="00000000" w:rsidR="00000000" w:rsidRPr="00000000">
        <w:rPr>
          <w:rtl w:val="0"/>
        </w:rPr>
        <w:t xml:space="preserve">. — 1999. — Vol. 20, № 5. — P. 521–546.</w:t>
      </w:r>
    </w:p>
    <w:p w:rsidR="00000000" w:rsidDel="00000000" w:rsidP="00000000" w:rsidRDefault="00000000" w:rsidRPr="00000000" w14:paraId="000000B5">
      <w:pPr>
        <w:ind w:left="1080" w:hanging="360"/>
        <w:jc w:val="both"/>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sectPr>
      <w:footerReference r:id="rId7" w:type="default"/>
      <w:pgSz w:h="16834" w:w="11909"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Строгий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a8"/>
    <w:uiPriority w:val="99"/>
    <w:semiHidden w:val="1"/>
    <w:unhideWhenUsed w:val="1"/>
    <w:pPr>
      <w:spacing w:line="240" w:lineRule="auto"/>
    </w:pPr>
    <w:rPr>
      <w:sz w:val="20"/>
      <w:szCs w:val="20"/>
    </w:rPr>
  </w:style>
  <w:style w:type="character" w:styleId="a8" w:customStyle="1">
    <w:name w:val="Текст сноски Знак"/>
    <w:link w:val="a7"/>
    <w:uiPriority w:val="99"/>
    <w:semiHidden w:val="1"/>
    <w:unhideWhenUsed w:val="1"/>
    <w:rPr>
      <w:sz w:val="20"/>
      <w:szCs w:val="20"/>
    </w:rPr>
  </w:style>
  <w:style w:type="paragraph" w:styleId="a9">
    <w:name w:val="caption"/>
    <w:basedOn w:val="a"/>
    <w:next w:val="a"/>
    <w:uiPriority w:val="35"/>
    <w:unhideWhenUsed w:val="1"/>
    <w:qFormat w:val="1"/>
    <w:rsid w:val="00B54833"/>
    <w:pPr>
      <w:spacing w:after="200" w:line="240" w:lineRule="auto"/>
    </w:pPr>
    <w:rPr>
      <w:i w:val="1"/>
      <w:iCs w:val="1"/>
      <w:color w:val="0e2841" w:themeColor="text2"/>
      <w:sz w:val="18"/>
      <w:szCs w:val="18"/>
    </w:rPr>
  </w:style>
  <w:style w:type="character" w:styleId="aa">
    <w:name w:val="Placeholder Text"/>
    <w:basedOn w:val="a0"/>
    <w:uiPriority w:val="99"/>
    <w:semiHidden w:val="1"/>
    <w:rsid w:val="00AF3E5B"/>
    <w:rPr>
      <w:color w:val="666666"/>
    </w:rPr>
  </w:style>
  <w:style w:type="character" w:styleId="mord" w:customStyle="1">
    <w:name w:val="mord"/>
    <w:basedOn w:val="a0"/>
    <w:rsid w:val="00AF3E5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GDj3dXu5oefkQyGSr8aP2vZJg==">CgMxLjA4AHIhMTllQUtmMVVEZmdTdnRhYWdTWWRmdjhNcFU1Ymg2dWp0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2026-03-30T09:01:00Z</dcterms:created>
  <dc:creator>Un-named</dc:creator>
</cp:coreProperties>
</file>