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b/>
          <w:sz w:val="30"/>
        </w:rPr>
        <w:t>Синтетический контроль неповторяющейся структуры</w:t>
      </w:r>
    </w:p>
    <w:p>
      <w:pPr>
        <w:spacing w:after="60"/>
        <w:ind w:firstLine="0"/>
        <w:jc w:val="center"/>
      </w:pPr>
      <w:r>
        <w:rPr>
          <w:sz w:val="20"/>
        </w:rPr>
        <w:t>Группа условных авторов; вторая серия</w:t>
      </w:r>
    </w:p>
    <w:p>
      <w:pPr>
        <w:spacing w:after="60"/>
        <w:ind w:firstLine="0"/>
        <w:jc w:val="left"/>
      </w:pPr>
      <w:r>
        <w:rPr>
          <w:b/>
        </w:rPr>
        <w:t>Аннотация</w:t>
      </w:r>
    </w:p>
    <w:p>
      <w:pPr>
        <w:spacing w:after="60"/>
        <w:ind w:firstLine="0"/>
        <w:jc w:val="both"/>
      </w:pPr>
      <w:r>
        <w:t>Четыре части описывают игрушечную сеть с меняющимся числом записей. Этот независимый документ проверяет, переносится ли оформление без знания длины раздела и числа иллюстраций.</w:t>
      </w:r>
    </w:p>
    <w:p>
      <w:pPr>
        <w:spacing w:after="60"/>
        <w:ind w:firstLine="0"/>
        <w:jc w:val="left"/>
      </w:pPr>
      <w:r>
        <w:rPr>
          <w:sz w:val="20"/>
        </w:rPr>
        <w:t>Ключевые слова: искусственная сеть; диапазон; проверка; независимый пример.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1. Контекст измерения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вектор</w:t>
      </w:r>
      <w:r>
        <w:t xml:space="preserve"> — условное имя перехода между узлами в части 1; имя не является научным термином.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TENSORQ</w:t>
      </w:r>
      <w:r>
        <w:t xml:space="preserve"> задаёт технический указатель части 1. Соседние слова оставлены обычными ради проверки границы выделения.</w:t>
      </w:r>
    </w:p>
    <w:p>
      <w:pPr>
        <w:spacing w:after="100"/>
        <w:ind w:firstLine="283"/>
        <w:jc w:val="both"/>
      </w:pPr>
      <w:r>
        <w:t xml:space="preserve">Часть 1, запись 1: вектор </w:t>
      </w:r>
      <w:r>
        <w:rPr>
          <w:color w:val="9C562C"/>
        </w:rPr>
        <w:t>—</w:t>
      </w:r>
      <w:r>
        <w:t xml:space="preserve"> искусственный маршрут со значением 102.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1, запись 2: вектор </w:t>
      </w:r>
      <w:r>
        <w:rPr>
          <w:color w:val="9C562C"/>
        </w:rPr>
        <w:t>—</w:t>
      </w:r>
      <w:r>
        <w:t xml:space="preserve"> искусственный маршрут со значением 109.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1, запись 3: вектор </w:t>
      </w:r>
      <w:r>
        <w:rPr>
          <w:color w:val="9C562C"/>
        </w:rPr>
        <w:t>—</w:t>
      </w:r>
      <w:r>
        <w:t xml:space="preserve"> искусственный маршрут со значением 116.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1, запись 4: вектор </w:t>
      </w:r>
      <w:r>
        <w:rPr>
          <w:color w:val="9C562C"/>
        </w:rPr>
        <w:t>—</w:t>
      </w:r>
      <w:r>
        <w:t xml:space="preserve"> искусственный маршрут со значением 123.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1, запись 5: вектор </w:t>
      </w:r>
      <w:r>
        <w:rPr>
          <w:color w:val="9C562C"/>
        </w:rPr>
        <w:t>—</w:t>
      </w:r>
      <w:r>
        <w:t xml:space="preserve"> искусственный маршрут со значением 130.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2. Разметка узлов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вектор</w:t>
      </w:r>
      <w:r>
        <w:t xml:space="preserve"> — условное имя перехода между узлами в части 2; имя не является научным термином.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TENSORQ</w:t>
      </w:r>
      <w:r>
        <w:t xml:space="preserve"> задаёт технический указатель части 2. Соседние слова оставлены обычными ради проверки границы выделения.</w:t>
      </w:r>
    </w:p>
    <w:p>
      <w:pPr>
        <w:spacing w:after="100"/>
        <w:ind w:firstLine="283"/>
        <w:jc w:val="both"/>
      </w:pPr>
      <w:r>
        <w:t xml:space="preserve">Часть 2, запись 1: вектор </w:t>
      </w:r>
      <w:r>
        <w:rPr>
          <w:color w:val="9C562C"/>
        </w:rPr>
        <w:t>—</w:t>
      </w:r>
      <w:r>
        <w:t xml:space="preserve"> искусственный маршрут со значением 121.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2: вектор </w:t>
      </w:r>
      <w:r>
        <w:rPr>
          <w:color w:val="9C562C"/>
        </w:rPr>
        <w:t>—</w:t>
      </w:r>
      <w:r>
        <w:t xml:space="preserve"> искусственный маршрут со значением 128.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3: вектор </w:t>
      </w:r>
      <w:r>
        <w:rPr>
          <w:color w:val="9C562C"/>
        </w:rPr>
        <w:t>—</w:t>
      </w:r>
      <w:r>
        <w:t xml:space="preserve"> искусственный маршрут со значением 135.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4: вектор </w:t>
      </w:r>
      <w:r>
        <w:rPr>
          <w:color w:val="9C562C"/>
        </w:rPr>
        <w:t>—</w:t>
      </w:r>
      <w:r>
        <w:t xml:space="preserve"> искусственный маршрут со значением 142.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5: вектор </w:t>
      </w:r>
      <w:r>
        <w:rPr>
          <w:color w:val="9C562C"/>
        </w:rPr>
        <w:t>—</w:t>
      </w:r>
      <w:r>
        <w:t xml:space="preserve"> искусственный маршрут со значением 149.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6: вектор </w:t>
      </w:r>
      <w:r>
        <w:rPr>
          <w:color w:val="9C562C"/>
        </w:rPr>
        <w:t>—</w:t>
      </w:r>
      <w:r>
        <w:t xml:space="preserve"> искусственный маршрут со значением 156.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7: вектор </w:t>
      </w:r>
      <w:r>
        <w:rPr>
          <w:color w:val="9C562C"/>
        </w:rPr>
        <w:t>—</w:t>
      </w:r>
      <w:r>
        <w:t xml:space="preserve"> искусственный маршрут со значением 163.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8: вектор </w:t>
      </w:r>
      <w:r>
        <w:rPr>
          <w:color w:val="9C562C"/>
        </w:rPr>
        <w:t>—</w:t>
      </w:r>
      <w:r>
        <w:t xml:space="preserve"> искусственный маршрут со значением 170.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2, запись 9: вектор </w:t>
      </w:r>
      <w:r>
        <w:rPr>
          <w:color w:val="9C562C"/>
        </w:rPr>
        <w:t>—</w:t>
      </w:r>
      <w:r>
        <w:t xml:space="preserve"> искусственный маршрут со значением 177.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1</w:t>
      </w:r>
      <w:r>
        <w:rPr>
          <w:sz w:val="20"/>
        </w:rPr>
        <w:t xml:space="preserve"> — Дополнительная схема в середине контрольного документа.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3. Сопоставление каналов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вектор</w:t>
      </w:r>
      <w:r>
        <w:t xml:space="preserve"> — условное имя перехода между узлами в части 3; имя не является научным термином.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TENSORQ</w:t>
      </w:r>
      <w:r>
        <w:t xml:space="preserve"> задаёт технический указатель части 3. Соседние слова оставлены обычными ради проверки границы выделения.</w:t>
      </w:r>
    </w:p>
    <w:p>
      <w:pPr>
        <w:spacing w:after="100"/>
        <w:ind w:firstLine="283"/>
        <w:jc w:val="both"/>
      </w:pPr>
      <w:r>
        <w:t xml:space="preserve">Часть 3, запись 1: вектор </w:t>
      </w:r>
      <w:r>
        <w:rPr>
          <w:color w:val="9C562C"/>
        </w:rPr>
        <w:t>—</w:t>
      </w:r>
      <w:r>
        <w:t xml:space="preserve"> искусственный маршрут со значением 140.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3, запись 2: вектор </w:t>
      </w:r>
      <w:r>
        <w:rPr>
          <w:color w:val="9C562C"/>
        </w:rPr>
        <w:t>—</w:t>
      </w:r>
      <w:r>
        <w:t xml:space="preserve"> искусственный маршрут со значением 147.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3, запись 3: вектор </w:t>
      </w:r>
      <w:r>
        <w:rPr>
          <w:color w:val="9C562C"/>
        </w:rPr>
        <w:t>—</w:t>
      </w:r>
      <w:r>
        <w:t xml:space="preserve"> искусственный маршрут со значением 154.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3, запись 4: вектор </w:t>
      </w:r>
      <w:r>
        <w:rPr>
          <w:color w:val="9C562C"/>
        </w:rPr>
        <w:t>—</w:t>
      </w:r>
      <w:r>
        <w:t xml:space="preserve"> искусственный маршрут со значением 161.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3, запись 5: вектор </w:t>
      </w:r>
      <w:r>
        <w:rPr>
          <w:color w:val="9C562C"/>
        </w:rPr>
        <w:t>—</w:t>
      </w:r>
      <w:r>
        <w:t xml:space="preserve"> искусственный маршрут со значением 168.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3, запись 6: вектор </w:t>
      </w:r>
      <w:r>
        <w:rPr>
          <w:color w:val="9C562C"/>
        </w:rPr>
        <w:t>—</w:t>
      </w:r>
      <w:r>
        <w:t xml:space="preserve"> искусственный маршрут со значением 175.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4. Пределы схемы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вектор</w:t>
      </w:r>
      <w:r>
        <w:t xml:space="preserve"> — условное имя перехода между узлами в части 4; имя не является научным термином.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TENSORQ</w:t>
      </w:r>
      <w:r>
        <w:t xml:space="preserve"> задаёт технический указатель части 4. Соседние слова оставлены обычными ради проверки границы выделения.</w:t>
      </w:r>
    </w:p>
    <w:p>
      <w:pPr>
        <w:spacing w:after="100"/>
        <w:ind w:firstLine="283"/>
        <w:jc w:val="both"/>
      </w:pPr>
      <w:r>
        <w:t xml:space="preserve">Часть 4, запись 1: вектор </w:t>
      </w:r>
      <w:r>
        <w:rPr>
          <w:color w:val="9C562C"/>
        </w:rPr>
        <w:t>—</w:t>
      </w:r>
      <w:r>
        <w:t xml:space="preserve"> искусственный маршрут со значением 159.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2: вектор </w:t>
      </w:r>
      <w:r>
        <w:rPr>
          <w:color w:val="9C562C"/>
        </w:rPr>
        <w:t>—</w:t>
      </w:r>
      <w:r>
        <w:t xml:space="preserve"> искусственный маршрут со значением 166.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3: вектор </w:t>
      </w:r>
      <w:r>
        <w:rPr>
          <w:color w:val="9C562C"/>
        </w:rPr>
        <w:t>—</w:t>
      </w:r>
      <w:r>
        <w:t xml:space="preserve"> искусственный маршрут со значением 173.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4: вектор </w:t>
      </w:r>
      <w:r>
        <w:rPr>
          <w:color w:val="9C562C"/>
        </w:rPr>
        <w:t>—</w:t>
      </w:r>
      <w:r>
        <w:t xml:space="preserve"> искусственный маршрут со значением 180.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5: вектор </w:t>
      </w:r>
      <w:r>
        <w:rPr>
          <w:color w:val="9C562C"/>
        </w:rPr>
        <w:t>—</w:t>
      </w:r>
      <w:r>
        <w:t xml:space="preserve"> искусственный маршрут со значением 187.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6: вектор </w:t>
      </w:r>
      <w:r>
        <w:rPr>
          <w:color w:val="9C562C"/>
        </w:rPr>
        <w:t>—</w:t>
      </w:r>
      <w:r>
        <w:t xml:space="preserve"> искусственный маршрут со значением 194.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7: вектор </w:t>
      </w:r>
      <w:r>
        <w:rPr>
          <w:color w:val="9C562C"/>
        </w:rPr>
        <w:t>—</w:t>
      </w:r>
      <w:r>
        <w:t xml:space="preserve"> искусственный маршрут со значением 201.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8: вектор </w:t>
      </w:r>
      <w:r>
        <w:rPr>
          <w:color w:val="9C562C"/>
        </w:rPr>
        <w:t>—</w:t>
      </w:r>
      <w:r>
        <w:t xml:space="preserve"> искусственный маршрут со значением 208.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9: вектор </w:t>
      </w:r>
      <w:r>
        <w:rPr>
          <w:color w:val="9C562C"/>
        </w:rPr>
        <w:t>—</w:t>
      </w:r>
      <w:r>
        <w:t xml:space="preserve"> искусственный маршрут со значением 215.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10: вектор </w:t>
      </w:r>
      <w:r>
        <w:rPr>
          <w:color w:val="9C562C"/>
        </w:rPr>
        <w:t>—</w:t>
      </w:r>
      <w:r>
        <w:t xml:space="preserve"> искусственный маршрут со значением 222.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100"/>
        <w:ind w:firstLine="283"/>
        <w:jc w:val="both"/>
      </w:pPr>
      <w:r>
        <w:t xml:space="preserve">Часть 4, запись 11: вектор </w:t>
      </w:r>
      <w:r>
        <w:rPr>
          <w:color w:val="9C562C"/>
        </w:rPr>
        <w:t>—</w:t>
      </w:r>
      <w:r>
        <w:t xml:space="preserve"> искусственный маршрут со значением 229. Соседние узлы связаны проверочным отношением, а порядок предложений изменён по сравнению с обучающими примерами. Смысл здесь условный; важны только границы текста и одинаковое правило оформления.</w:t>
      </w:r>
    </w:p>
    <w:p>
      <w:pPr>
        <w:spacing w:after="60" w:before="140"/>
        <w:ind w:firstLine="0"/>
        <w:jc w:val="center"/>
      </w:pPr>
      <m:oMath>
        <m:r>
          <m:t>R = c + d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2</w:t>
      </w:r>
      <w:r>
        <w:rPr>
          <w:sz w:val="20"/>
        </w:rPr>
        <w:t xml:space="preserve"> — Итоговая схема условной сети.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5. Выводы</w:t>
      </w:r>
    </w:p>
    <w:p>
      <w:pPr>
        <w:spacing w:after="100"/>
        <w:ind w:firstLine="283"/>
        <w:jc w:val="both"/>
      </w:pPr>
      <w:r>
        <w:t xml:space="preserve">Контрольное завершение 1 называет вектор </w:t>
      </w:r>
      <w:r>
        <w:rPr>
          <w:color w:val="9C562C"/>
        </w:rPr>
        <w:t>—</w:t>
      </w:r>
      <w:r>
        <w:t xml:space="preserve"> условный маршрут без связи с реальной публикацией. Параграф повторяет стиль основного текста после второго рисунка.</w:t>
      </w:r>
    </w:p>
    <w:p>
      <w:pPr>
        <w:spacing w:after="100"/>
        <w:ind w:firstLine="283"/>
        <w:jc w:val="both"/>
      </w:pPr>
      <w:r>
        <w:t xml:space="preserve">Контрольное завершение 2 называет вектор </w:t>
      </w:r>
      <w:r>
        <w:rPr>
          <w:color w:val="9C562C"/>
        </w:rPr>
        <w:t>—</w:t>
      </w:r>
      <w:r>
        <w:t xml:space="preserve"> условный маршрут без связи с реальной публикацией. Параграф повторяет стиль основного текста после второго рисунка.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