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ind w:firstLine="0"/>
        <w:jc w:val="center"/>
      </w:pPr>
      <w:r>
        <w:rPr>
          <w:b/>
          <w:sz w:val="30"/>
        </w:rPr>
        <w:t>Синтетический протокол канала 71</w:t>
      </w:r>
    </w:p>
    <w:p>
      <w:pPr>
        <w:spacing w:after="60"/>
        <w:ind w:firstLine="0"/>
        <w:jc w:val="center"/>
      </w:pPr>
      <w:r>
        <w:rPr>
          <w:sz w:val="20"/>
        </w:rPr>
        <w:t>Условный автор 71; лаборатория тестовых документов</w:t>
      </w:r>
    </w:p>
    <w:p>
      <w:pPr>
        <w:spacing w:after="60"/>
        <w:ind w:firstLine="0"/>
        <w:jc w:val="left"/>
      </w:pPr>
      <w:r>
        <w:rPr>
          <w:b/>
        </w:rPr>
        <w:t>Аннотация</w:t>
      </w:r>
    </w:p>
    <w:p>
      <w:pPr>
        <w:spacing w:after="60"/>
        <w:ind w:firstLine="0"/>
        <w:jc w:val="both"/>
      </w:pPr>
      <w:r>
        <w:t>Для серии 71 задана искусственная сеть из двух узлов. Документ проверяет перенос правил оформления, сохранность формулы и расположение рисунка.</w:t>
      </w:r>
    </w:p>
    <w:p>
      <w:pPr>
        <w:spacing w:after="60"/>
        <w:ind w:firstLine="0"/>
        <w:jc w:val="left"/>
      </w:pPr>
      <w:r>
        <w:rPr>
          <w:sz w:val="20"/>
        </w:rPr>
        <w:t>Ключевые слова: условный канал; правило; макет; проверка.</w:t>
      </w:r>
    </w:p>
    <w:p>
      <w:pPr>
        <w:keepNext/>
        <w:spacing w:after="140" w:before="200"/>
        <w:ind w:firstLine="0"/>
        <w:jc w:val="left"/>
      </w:pPr>
      <w:r>
        <w:rPr>
          <w:b/>
          <w:sz w:val="24"/>
        </w:rPr>
        <w:t>1. Введение</w:t>
      </w:r>
    </w:p>
    <w:p>
      <w:pPr>
        <w:spacing w:after="100"/>
        <w:ind w:firstLine="283"/>
        <w:jc w:val="both"/>
      </w:pPr>
      <w:r>
        <w:t xml:space="preserve">Определение: </w:t>
      </w:r>
      <w:r>
        <w:rPr>
          <w:b/>
          <w:color w:val="17365D"/>
        </w:rPr>
        <w:t>градиент</w:t>
      </w:r>
      <w:r>
        <w:t xml:space="preserve"> — условная сущность серии 71, которая обозначает передачу значения между искусственными узлами.</w:t>
      </w:r>
    </w:p>
    <w:p>
      <w:pPr>
        <w:spacing w:after="100"/>
        <w:ind w:firstLine="283"/>
        <w:jc w:val="both"/>
      </w:pPr>
      <w:r>
        <w:t xml:space="preserve">Метка </w:t>
      </w:r>
      <w:r>
        <w:rPr>
          <w:rFonts w:ascii="Courier New" w:hAnsi="Courier New"/>
          <w:color w:val="006B5B"/>
        </w:rPr>
        <w:t>VECTORZ</w:t>
      </w:r>
      <w:r>
        <w:t xml:space="preserve"> обозначает внутренний канал схемы 1. Её запись нужна лишь для проверки выделения внутри обычной строки.</w:t>
      </w:r>
    </w:p>
    <w:p>
      <w:pPr>
        <w:spacing w:after="100"/>
        <w:ind w:firstLine="283"/>
        <w:jc w:val="both"/>
      </w:pPr>
      <w:r>
        <w:t xml:space="preserve">В серии 71 раздела 1 контрольная запись 1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84.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71 раздела 1 контрольная запись 2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87.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71 раздела 1 контрольная запись 3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90.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71 раздела 1 контрольная запись 4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93.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71 раздела 1 контрольная запись 5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96.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71 раздела 1 контрольная запись 6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99.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71 раздела 1 контрольная запись 7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102.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71 раздела 1 контрольная запись 8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105.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keepNext/>
        <w:spacing w:after="140" w:before="200"/>
        <w:ind w:firstLine="0"/>
        <w:jc w:val="left"/>
      </w:pPr>
      <w:r>
        <w:rPr>
          <w:b/>
          <w:sz w:val="24"/>
        </w:rPr>
        <w:t>2. Метод наблюдения</w:t>
      </w:r>
    </w:p>
    <w:p>
      <w:pPr>
        <w:spacing w:after="100"/>
        <w:ind w:firstLine="283"/>
        <w:jc w:val="both"/>
      </w:pPr>
      <w:r>
        <w:t xml:space="preserve">Определение: </w:t>
      </w:r>
      <w:r>
        <w:rPr>
          <w:b/>
          <w:color w:val="17365D"/>
        </w:rPr>
        <w:t>градиент</w:t>
      </w:r>
      <w:r>
        <w:t xml:space="preserve"> — условная сущность серии 71, которая обозначает передачу значения между искусственными узлами.</w:t>
      </w:r>
    </w:p>
    <w:p>
      <w:pPr>
        <w:spacing w:after="100"/>
        <w:ind w:firstLine="283"/>
        <w:jc w:val="both"/>
      </w:pPr>
      <w:r>
        <w:t xml:space="preserve">Метка </w:t>
      </w:r>
      <w:r>
        <w:rPr>
          <w:rFonts w:ascii="Courier New" w:hAnsi="Courier New"/>
          <w:color w:val="006B5B"/>
        </w:rPr>
        <w:t>VECTORZ</w:t>
      </w:r>
      <w:r>
        <w:t xml:space="preserve"> обозначает внутренний канал схемы 2. Её запись нужна лишь для проверки выделения внутри обычной строки.</w:t>
      </w:r>
    </w:p>
    <w:p>
      <w:pPr>
        <w:spacing w:after="100"/>
        <w:ind w:firstLine="283"/>
        <w:jc w:val="both"/>
      </w:pPr>
      <w:r>
        <w:t xml:space="preserve">В серии 71 раздела 2 контрольная запись 1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97.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71 раздела 2 контрольная запись 2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100.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71 раздела 2 контрольная запись 3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103.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71 раздела 2 контрольная запись 4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106.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71 раздела 2 контрольная запись 5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109.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71 раздела 2 контрольная запись 6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112.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71 раздела 2 контрольная запись 7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115.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71 раздела 2 контрольная запись 8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118.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keepNext/>
        <w:spacing w:after="140" w:before="200"/>
        <w:ind w:firstLine="0"/>
        <w:jc w:val="left"/>
      </w:pPr>
      <w:r>
        <w:rPr>
          <w:b/>
          <w:sz w:val="24"/>
        </w:rPr>
        <w:t>3. Проверка результата</w:t>
      </w:r>
    </w:p>
    <w:p>
      <w:pPr>
        <w:spacing w:after="100"/>
        <w:ind w:firstLine="283"/>
        <w:jc w:val="both"/>
      </w:pPr>
      <w:r>
        <w:t xml:space="preserve">Определение: </w:t>
      </w:r>
      <w:r>
        <w:rPr>
          <w:b/>
          <w:color w:val="17365D"/>
        </w:rPr>
        <w:t>градиент</w:t>
      </w:r>
      <w:r>
        <w:t xml:space="preserve"> — условная сущность серии 71, которая обозначает передачу значения между искусственными узлами.</w:t>
      </w:r>
    </w:p>
    <w:p>
      <w:pPr>
        <w:spacing w:after="100"/>
        <w:ind w:firstLine="283"/>
        <w:jc w:val="both"/>
      </w:pPr>
      <w:r>
        <w:t xml:space="preserve">Метка </w:t>
      </w:r>
      <w:r>
        <w:rPr>
          <w:rFonts w:ascii="Courier New" w:hAnsi="Courier New"/>
          <w:color w:val="006B5B"/>
        </w:rPr>
        <w:t>VECTORZ</w:t>
      </w:r>
      <w:r>
        <w:t xml:space="preserve"> обозначает внутренний канал схемы 3. Её запись нужна лишь для проверки выделения внутри обычной строки.</w:t>
      </w:r>
    </w:p>
    <w:p>
      <w:pPr>
        <w:spacing w:after="100"/>
        <w:ind w:firstLine="283"/>
        <w:jc w:val="both"/>
      </w:pPr>
      <w:r>
        <w:t xml:space="preserve">В серии 71 раздела 3 контрольная запись 1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110.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71 раздела 3 контрольная запись 2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113.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71 раздела 3 контрольная запись 3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116.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71 раздела 3 контрольная запись 4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119.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71 раздела 3 контрольная запись 5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122.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71 раздела 3 контрольная запись 6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125.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71 раздела 3 контрольная запись 7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128.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71 раздела 3 контрольная запись 8 описывает градиент </w:t>
      </w:r>
      <w:r>
        <w:rPr>
          <w:color w:val="9C562C"/>
        </w:rPr>
        <w:t>—</w:t>
      </w:r>
      <w:r>
        <w:t xml:space="preserve"> искусственный канал при условном уровне 131.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60" w:before="140"/>
        <w:ind w:firstLine="0"/>
        <w:jc w:val="center"/>
      </w:pPr>
      <m:oMath>
        <m:r>
          <m:t>Q = a + b</m:t>
        </m:r>
      </m:oMath>
    </w:p>
    <w:p>
      <w:pPr>
        <w:spacing w:after="60" w:before="1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40000" cy="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firstLine="0"/>
        <w:jc w:val="center"/>
      </w:pPr>
      <w:r>
        <w:rPr>
          <w:b/>
          <w:sz w:val="20"/>
        </w:rPr>
        <w:t>Рисунок 1</w:t>
      </w:r>
      <w:r>
        <w:rPr>
          <w:sz w:val="20"/>
        </w:rPr>
        <w:t xml:space="preserve"> — Схема двух условных узлов для серии 71.</w:t>
      </w:r>
    </w:p>
    <w:p>
      <w:pPr>
        <w:keepNext/>
        <w:spacing w:after="140" w:before="200"/>
        <w:ind w:firstLine="0"/>
        <w:jc w:val="left"/>
      </w:pPr>
      <w:r>
        <w:rPr>
          <w:b/>
          <w:sz w:val="24"/>
        </w:rPr>
        <w:t>4. Заключение</w:t>
      </w:r>
    </w:p>
    <w:p>
      <w:pPr>
        <w:spacing w:after="100"/>
        <w:ind w:firstLine="283"/>
        <w:jc w:val="both"/>
      </w:pPr>
      <w:r>
        <w:t>Итоговая синтетическая запись 71.1 повторно называет градиент. Содержание намеренно не связано с реальной научной статьёй; оно фиксирует длину, порядок и целостность документа.</w:t>
      </w:r>
    </w:p>
    <w:p>
      <w:pPr>
        <w:spacing w:after="100"/>
        <w:ind w:firstLine="283"/>
        <w:jc w:val="both"/>
      </w:pPr>
      <w:r>
        <w:t>Итоговая синтетическая запись 71.2 повторно называет градиент. Содержание намеренно не связано с реальной научной статьёй; оно фиксирует длину, порядок и целостность документа.</w:t>
      </w:r>
    </w:p>
    <w:sectPr w:rsidR="00FC693F" w:rsidRPr="0006063C" w:rsidSect="00034616">
      <w:pgSz w:w="11906" w:h="16838"/>
      <w:pgMar w:top="1134" w:right="113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</w:rPr>
    </w:rPrDefault>
    <w:pPrDefault>
      <w:pPr>
        <w:spacing w:line="300" w:lineRule="auto" w:after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0"/>
      <w:ind w:firstLine="283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