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b w:val="1"/>
          <w:bCs w:val="1"/>
        </w:rPr>
      </w:pPr>
      <w:bookmarkStart w:colFirst="0" w:colLast="0" w:name="_olzhb2txqbee" w:id="0"/>
      <w:bookmarkEnd w:id="0"/>
      <w:r w:rsidDel="00000000" w:rsidR="00000000" w:rsidRPr="00000000">
        <w:rPr>
          <w:b w:val="1"/>
          <w:bCs w:val="1"/>
          <w:rtl w:val="0"/>
        </w:rPr>
        <w:t xml:space="preserve">Predicting Customer Response to Direct Mail Offers for Consumer Loans</w:t>
      </w:r>
    </w:p>
    <w:p w:rsidR="00000000" w:rsidDel="00000000" w:rsidP="00000000" w:rsidRDefault="00000000" w:rsidRPr="00000000" w14:paraId="00000002">
      <w:pPr>
        <w:pStyle w:val="Heading1"/>
        <w:spacing w:after="240" w:before="240" w:lineRule="auto"/>
        <w:rPr/>
      </w:pPr>
      <w:bookmarkStart w:colFirst="0" w:colLast="0" w:name="_ldnqty2d6zvm" w:id="1"/>
      <w:bookmarkEnd w:id="1"/>
      <w:r w:rsidDel="00000000" w:rsidR="00000000" w:rsidRPr="00000000">
        <w:rPr>
          <w:rtl w:val="0"/>
        </w:rPr>
        <w:t xml:space="preserve">Industry &amp; Business Context (Domain Knowledge)</w:t>
      </w:r>
    </w:p>
    <w:p w:rsidR="00000000" w:rsidDel="00000000" w:rsidP="00000000" w:rsidRDefault="00000000" w:rsidRPr="00000000" w14:paraId="00000003">
      <w:pPr>
        <w:pStyle w:val="Heading1"/>
        <w:spacing w:after="240" w:before="240" w:lineRule="auto"/>
        <w:rPr>
          <w:sz w:val="22"/>
          <w:szCs w:val="22"/>
        </w:rPr>
      </w:pPr>
      <w:bookmarkStart w:colFirst="0" w:colLast="0" w:name="_r978zljlmtmz" w:id="2"/>
      <w:bookmarkEnd w:id="2"/>
      <w:r w:rsidDel="00000000" w:rsidR="00000000" w:rsidRPr="00000000">
        <w:rPr>
          <w:sz w:val="22"/>
          <w:szCs w:val="22"/>
          <w:rtl w:val="0"/>
        </w:rPr>
        <w:t xml:space="preserve">Springleaf (now part of OneMain Financial) operates in the consumer lending industry, offering personal loans to individuals across the U.S. Direct mail remains one of their primary customer acquisition channels, but each mailed offer—printing, postage, compliance checks—incurs a real cost.</w:t>
      </w:r>
    </w:p>
    <w:p w:rsidR="00000000" w:rsidDel="00000000" w:rsidP="00000000" w:rsidRDefault="00000000" w:rsidRPr="00000000" w14:paraId="00000004">
      <w:pPr>
        <w:pStyle w:val="Heading1"/>
        <w:spacing w:after="240" w:before="240" w:lineRule="auto"/>
        <w:rPr>
          <w:sz w:val="22"/>
          <w:szCs w:val="22"/>
        </w:rPr>
      </w:pPr>
      <w:bookmarkStart w:colFirst="0" w:colLast="0" w:name="_r978zljlmtmz" w:id="2"/>
      <w:bookmarkEnd w:id="2"/>
      <w:r w:rsidDel="00000000" w:rsidR="00000000" w:rsidRPr="00000000">
        <w:rPr>
          <w:sz w:val="22"/>
          <w:szCs w:val="22"/>
          <w:rtl w:val="0"/>
        </w:rPr>
        <w:t xml:space="preserve">Sending offers blindly to all customers results in:</w:t>
      </w:r>
    </w:p>
    <w:p w:rsidR="00000000" w:rsidDel="00000000" w:rsidP="00000000" w:rsidRDefault="00000000" w:rsidRPr="00000000" w14:paraId="00000005">
      <w:pPr>
        <w:pStyle w:val="Heading1"/>
        <w:numPr>
          <w:ilvl w:val="0"/>
          <w:numId w:val="7"/>
        </w:numPr>
        <w:spacing w:after="0" w:afterAutospacing="0" w:before="240" w:lineRule="auto"/>
        <w:ind w:left="720" w:hanging="360"/>
        <w:rPr>
          <w:sz w:val="22"/>
          <w:szCs w:val="22"/>
        </w:rPr>
      </w:pPr>
      <w:bookmarkStart w:colFirst="0" w:colLast="0" w:name="_r978zljlmtmz" w:id="2"/>
      <w:bookmarkEnd w:id="2"/>
      <w:r w:rsidDel="00000000" w:rsidR="00000000" w:rsidRPr="00000000">
        <w:rPr>
          <w:sz w:val="22"/>
          <w:szCs w:val="22"/>
          <w:rtl w:val="0"/>
        </w:rPr>
        <w:t xml:space="preserve">High marketing spend</w:t>
      </w:r>
    </w:p>
    <w:p w:rsidR="00000000" w:rsidDel="00000000" w:rsidP="00000000" w:rsidRDefault="00000000" w:rsidRPr="00000000" w14:paraId="00000006">
      <w:pPr>
        <w:pStyle w:val="Heading1"/>
        <w:numPr>
          <w:ilvl w:val="0"/>
          <w:numId w:val="7"/>
        </w:numPr>
        <w:spacing w:after="0" w:afterAutospacing="0" w:before="0" w:beforeAutospacing="0" w:lineRule="auto"/>
        <w:ind w:left="720" w:hanging="360"/>
        <w:rPr>
          <w:sz w:val="22"/>
          <w:szCs w:val="22"/>
        </w:rPr>
      </w:pPr>
      <w:bookmarkStart w:colFirst="0" w:colLast="0" w:name="_r978zljlmtmz" w:id="2"/>
      <w:bookmarkEnd w:id="2"/>
      <w:r w:rsidDel="00000000" w:rsidR="00000000" w:rsidRPr="00000000">
        <w:rPr>
          <w:sz w:val="22"/>
          <w:szCs w:val="22"/>
          <w:rtl w:val="0"/>
        </w:rPr>
        <w:t xml:space="preserve">Very low response rates</w:t>
      </w:r>
    </w:p>
    <w:p w:rsidR="00000000" w:rsidDel="00000000" w:rsidP="00000000" w:rsidRDefault="00000000" w:rsidRPr="00000000" w14:paraId="00000007">
      <w:pPr>
        <w:pStyle w:val="Heading1"/>
        <w:numPr>
          <w:ilvl w:val="0"/>
          <w:numId w:val="7"/>
        </w:numPr>
        <w:spacing w:after="0" w:afterAutospacing="0" w:before="0" w:beforeAutospacing="0" w:lineRule="auto"/>
        <w:ind w:left="720" w:hanging="360"/>
        <w:rPr>
          <w:sz w:val="22"/>
          <w:szCs w:val="22"/>
        </w:rPr>
      </w:pPr>
      <w:bookmarkStart w:colFirst="0" w:colLast="0" w:name="_r978zljlmtmz" w:id="2"/>
      <w:bookmarkEnd w:id="2"/>
      <w:r w:rsidDel="00000000" w:rsidR="00000000" w:rsidRPr="00000000">
        <w:rPr>
          <w:sz w:val="22"/>
          <w:szCs w:val="22"/>
          <w:rtl w:val="0"/>
        </w:rPr>
        <w:t xml:space="preserve">Poor ROI</w:t>
      </w:r>
    </w:p>
    <w:p w:rsidR="00000000" w:rsidDel="00000000" w:rsidP="00000000" w:rsidRDefault="00000000" w:rsidRPr="00000000" w14:paraId="00000008">
      <w:pPr>
        <w:pStyle w:val="Heading1"/>
        <w:numPr>
          <w:ilvl w:val="0"/>
          <w:numId w:val="7"/>
        </w:numPr>
        <w:spacing w:after="240" w:before="0" w:beforeAutospacing="0" w:lineRule="auto"/>
        <w:ind w:left="720" w:hanging="360"/>
        <w:rPr>
          <w:sz w:val="22"/>
          <w:szCs w:val="22"/>
        </w:rPr>
      </w:pPr>
      <w:bookmarkStart w:colFirst="0" w:colLast="0" w:name="_r978zljlmtmz" w:id="2"/>
      <w:bookmarkEnd w:id="2"/>
      <w:r w:rsidDel="00000000" w:rsidR="00000000" w:rsidRPr="00000000">
        <w:rPr>
          <w:sz w:val="22"/>
          <w:szCs w:val="22"/>
          <w:rtl w:val="0"/>
        </w:rPr>
        <w:t xml:space="preserve">Potential regulatory or reputational issues</w:t>
      </w:r>
    </w:p>
    <w:p w:rsidR="00000000" w:rsidDel="00000000" w:rsidP="00000000" w:rsidRDefault="00000000" w:rsidRPr="00000000" w14:paraId="00000009">
      <w:pPr>
        <w:pStyle w:val="Heading1"/>
        <w:spacing w:after="240" w:before="240" w:lineRule="auto"/>
        <w:rPr>
          <w:sz w:val="22"/>
          <w:szCs w:val="22"/>
        </w:rPr>
      </w:pPr>
      <w:bookmarkStart w:colFirst="0" w:colLast="0" w:name="_r978zljlmtmz" w:id="2"/>
      <w:bookmarkEnd w:id="2"/>
      <w:r w:rsidDel="00000000" w:rsidR="00000000" w:rsidRPr="00000000">
        <w:rPr>
          <w:sz w:val="22"/>
          <w:szCs w:val="22"/>
          <w:rtl w:val="0"/>
        </w:rPr>
        <w:t xml:space="preserve">A smarter strategy is to identify customers who are </w:t>
      </w:r>
      <w:r w:rsidDel="00000000" w:rsidR="00000000" w:rsidRPr="00000000">
        <w:rPr>
          <w:b w:val="1"/>
          <w:bCs w:val="1"/>
          <w:sz w:val="22"/>
          <w:szCs w:val="22"/>
          <w:rtl w:val="0"/>
        </w:rPr>
        <w:t xml:space="preserve">most likely to respond</w:t>
      </w:r>
      <w:r w:rsidDel="00000000" w:rsidR="00000000" w:rsidRPr="00000000">
        <w:rPr>
          <w:sz w:val="22"/>
          <w:szCs w:val="22"/>
          <w:rtl w:val="0"/>
        </w:rPr>
        <w:t xml:space="preserve"> and focus mailings on those segments. Accurate response modeling directly improves profitability, campaign efficiency, and customer targeting quality.</w:t>
      </w:r>
    </w:p>
    <w:p w:rsidR="00000000" w:rsidDel="00000000" w:rsidP="00000000" w:rsidRDefault="00000000" w:rsidRPr="00000000" w14:paraId="0000000A">
      <w:pPr>
        <w:pStyle w:val="Heading1"/>
        <w:spacing w:after="240" w:before="240" w:lineRule="auto"/>
        <w:rPr>
          <w:sz w:val="22"/>
          <w:szCs w:val="22"/>
        </w:rPr>
      </w:pPr>
      <w:bookmarkStart w:colFirst="0" w:colLast="0" w:name="_o6es0h1zwl2j" w:id="3"/>
      <w:bookmarkEnd w:id="3"/>
      <w:r w:rsidDel="00000000" w:rsidR="00000000" w:rsidRPr="00000000">
        <w:rPr>
          <w:sz w:val="22"/>
          <w:szCs w:val="22"/>
          <w:rtl w:val="0"/>
        </w:rPr>
        <w:t xml:space="preserve">The provided Springleaf dataset contains </w:t>
      </w:r>
      <w:r w:rsidDel="00000000" w:rsidR="00000000" w:rsidRPr="00000000">
        <w:rPr>
          <w:b w:val="1"/>
          <w:bCs w:val="1"/>
          <w:sz w:val="22"/>
          <w:szCs w:val="22"/>
          <w:rtl w:val="0"/>
        </w:rPr>
        <w:t xml:space="preserve">high-dimensional anonymized customer attributes</w:t>
      </w:r>
      <w:r w:rsidDel="00000000" w:rsidR="00000000" w:rsidRPr="00000000">
        <w:rPr>
          <w:sz w:val="22"/>
          <w:szCs w:val="22"/>
          <w:rtl w:val="0"/>
        </w:rPr>
        <w:t xml:space="preserve"> (numeric, categorical, and event-like variables) along with a binary target indicating whether the customer previously responded to a loan offer. This makes it ideal for building a production-style ML response model.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240" w:before="240" w:lineRule="auto"/>
        <w:rPr/>
      </w:pPr>
      <w:bookmarkStart w:colFirst="0" w:colLast="0" w:name="_doc62761u107" w:id="4"/>
      <w:bookmarkEnd w:id="4"/>
      <w:r w:rsidDel="00000000" w:rsidR="00000000" w:rsidRPr="00000000">
        <w:rPr>
          <w:rtl w:val="0"/>
        </w:rPr>
        <w:t xml:space="preserve">ML Problems in This Industry</w:t>
      </w:r>
    </w:p>
    <w:p w:rsidR="00000000" w:rsidDel="00000000" w:rsidP="00000000" w:rsidRDefault="00000000" w:rsidRPr="00000000" w14:paraId="0000000D">
      <w:pPr>
        <w:spacing w:after="240" w:before="240" w:lineRule="auto"/>
        <w:rPr/>
      </w:pPr>
      <w:r w:rsidDel="00000000" w:rsidR="00000000" w:rsidRPr="00000000">
        <w:rPr>
          <w:rtl w:val="0"/>
        </w:rPr>
        <w:t xml:space="preserve">In consumer lending and marketing operations, ML is widely used for:</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Propensity modeling</w:t>
      </w:r>
      <w:r w:rsidDel="00000000" w:rsidR="00000000" w:rsidRPr="00000000">
        <w:rPr>
          <w:rtl w:val="0"/>
        </w:rPr>
        <w:t xml:space="preserve"> (predicting response likelihood)</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Targeted direct mail optimization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Product recommendations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Churn prediction</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Customer segmentation</w:t>
      </w:r>
      <w:r w:rsidDel="00000000" w:rsidR="00000000" w:rsidRPr="00000000">
        <w:rPr>
          <w:rtl w:val="0"/>
        </w:rPr>
        <w:t xml:space="preserve"> using behavioral and demographic patterns</w:t>
      </w:r>
    </w:p>
    <w:p w:rsidR="00000000" w:rsidDel="00000000" w:rsidP="00000000" w:rsidRDefault="00000000" w:rsidRPr="00000000" w14:paraId="00000013">
      <w:pPr>
        <w:spacing w:after="240" w:before="240" w:lineRule="auto"/>
        <w:rPr/>
      </w:pPr>
      <w:r w:rsidDel="00000000" w:rsidR="00000000" w:rsidRPr="00000000">
        <w:rPr>
          <w:rtl w:val="0"/>
        </w:rPr>
        <w:t xml:space="preserve">The Springleaf problem is a classic </w:t>
      </w:r>
      <w:r w:rsidDel="00000000" w:rsidR="00000000" w:rsidRPr="00000000">
        <w:rPr>
          <w:b w:val="1"/>
          <w:bCs w:val="1"/>
          <w:rtl w:val="0"/>
        </w:rPr>
        <w:t xml:space="preserve">binary classification</w:t>
      </w:r>
      <w:r w:rsidDel="00000000" w:rsidR="00000000" w:rsidRPr="00000000">
        <w:rPr>
          <w:rtl w:val="0"/>
        </w:rPr>
        <w:t xml:space="preserve"> task aimed at ranking customers by their probability of response.</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1"/>
        <w:spacing w:after="240" w:before="240" w:lineRule="auto"/>
        <w:rPr/>
      </w:pPr>
      <w:bookmarkStart w:colFirst="0" w:colLast="0" w:name="_7j24c9gpjxra" w:id="5"/>
      <w:bookmarkEnd w:id="5"/>
      <w:r w:rsidDel="00000000" w:rsidR="00000000" w:rsidRPr="00000000">
        <w:rPr>
          <w:rtl w:val="0"/>
        </w:rPr>
        <w:t xml:space="preserve">Industry Best Practices Relevant to Response Modeling</w:t>
      </w:r>
    </w:p>
    <w:p w:rsidR="00000000" w:rsidDel="00000000" w:rsidP="00000000" w:rsidRDefault="00000000" w:rsidRPr="00000000" w14:paraId="00000016">
      <w:pPr>
        <w:spacing w:after="240" w:before="240" w:lineRule="auto"/>
        <w:rPr/>
      </w:pPr>
      <w:r w:rsidDel="00000000" w:rsidR="00000000" w:rsidRPr="00000000">
        <w:rPr>
          <w:rtl w:val="0"/>
        </w:rPr>
        <w:t xml:space="preserve">Before launching targeted campaigns, organizations typically:</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Clean and standardize large tabular datasets</w:t>
      </w:r>
      <w:r w:rsidDel="00000000" w:rsidR="00000000" w:rsidRPr="00000000">
        <w:rPr>
          <w:rFonts w:ascii="Arial Unicode MS" w:cs="Arial Unicode MS" w:eastAsia="Arial Unicode MS" w:hAnsi="Arial Unicode MS"/>
          <w:rtl w:val="0"/>
        </w:rPr>
        <w:t xml:space="preserve">, especially when placeholders (−1, 98, 999999998) represent missingness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Handle highly imbalanced targets</w:t>
      </w:r>
      <w:r w:rsidDel="00000000" w:rsidR="00000000" w:rsidRPr="00000000">
        <w:rPr>
          <w:rtl w:val="0"/>
        </w:rPr>
        <w:t xml:space="preserve"> using stratified validation and appropriate metrics (AUC, PR-AUC, F1)</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Engineer meta-features</w:t>
      </w:r>
      <w:r w:rsidDel="00000000" w:rsidR="00000000" w:rsidRPr="00000000">
        <w:rPr>
          <w:rtl w:val="0"/>
        </w:rPr>
        <w:t xml:space="preserve"> such as missing-value counts or activity indicators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Use tree-based models</w:t>
      </w:r>
      <w:r w:rsidDel="00000000" w:rsidR="00000000" w:rsidRPr="00000000">
        <w:rPr>
          <w:rtl w:val="0"/>
        </w:rPr>
        <w:t xml:space="preserve"> (XGBoost, LightGBM, CatBoost) for nonlinear tabular data</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Perform feature selection</w:t>
      </w:r>
      <w:r w:rsidDel="00000000" w:rsidR="00000000" w:rsidRPr="00000000">
        <w:rPr>
          <w:rtl w:val="0"/>
        </w:rPr>
        <w:t xml:space="preserve"> when hundreds or thousands of attributes are present</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Ensure interpretability</w:t>
      </w:r>
      <w:r w:rsidDel="00000000" w:rsidR="00000000" w:rsidRPr="00000000">
        <w:rPr>
          <w:rtl w:val="0"/>
        </w:rPr>
        <w:t xml:space="preserve"> via feature importance or permutation importance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Run incremental rollout/A/B tests</w:t>
      </w:r>
      <w:r w:rsidDel="00000000" w:rsidR="00000000" w:rsidRPr="00000000">
        <w:rPr>
          <w:rtl w:val="0"/>
        </w:rPr>
        <w:t xml:space="preserve"> in production settings</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pStyle w:val="Heading1"/>
        <w:spacing w:after="240" w:before="240" w:lineRule="auto"/>
        <w:rPr/>
      </w:pPr>
      <w:bookmarkStart w:colFirst="0" w:colLast="0" w:name="_ofwd5zn50yl3" w:id="6"/>
      <w:bookmarkEnd w:id="6"/>
      <w:r w:rsidDel="00000000" w:rsidR="00000000" w:rsidRPr="00000000">
        <w:rPr>
          <w:rtl w:val="0"/>
        </w:rPr>
        <w:t xml:space="preserve">Why I Chose This Topic</w:t>
      </w:r>
    </w:p>
    <w:p w:rsidR="00000000" w:rsidDel="00000000" w:rsidP="00000000" w:rsidRDefault="00000000" w:rsidRPr="00000000" w14:paraId="00000020">
      <w:pPr>
        <w:spacing w:after="240" w:before="240" w:lineRule="auto"/>
        <w:rPr/>
      </w:pPr>
      <w:r w:rsidDel="00000000" w:rsidR="00000000" w:rsidRPr="00000000">
        <w:rPr>
          <w:rtl w:val="0"/>
        </w:rPr>
        <w:t xml:space="preserve">I selected the Springleaf Marketing Response dataset because:</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It represents a </w:t>
      </w:r>
      <w:r w:rsidDel="00000000" w:rsidR="00000000" w:rsidRPr="00000000">
        <w:rPr>
          <w:b w:val="1"/>
          <w:bCs w:val="1"/>
          <w:rtl w:val="0"/>
        </w:rPr>
        <w:t xml:space="preserve">real-world, high-business-impact use case</w:t>
      </w:r>
      <w:r w:rsidDel="00000000" w:rsidR="00000000" w:rsidRPr="00000000">
        <w:rPr>
          <w:rtl w:val="0"/>
        </w:rPr>
        <w:t xml:space="preserve"> frequently seen in fintech and marketing analytics.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The data is </w:t>
      </w:r>
      <w:r w:rsidDel="00000000" w:rsidR="00000000" w:rsidRPr="00000000">
        <w:rPr>
          <w:b w:val="1"/>
          <w:bCs w:val="1"/>
          <w:rtl w:val="0"/>
        </w:rPr>
        <w:t xml:space="preserve">large and challenging</w:t>
      </w:r>
      <w:r w:rsidDel="00000000" w:rsidR="00000000" w:rsidRPr="00000000">
        <w:rPr>
          <w:rtl w:val="0"/>
        </w:rPr>
        <w:t xml:space="preserve"> (140k rows × ~1900 features), providing a realistic environment for feature engineering, missing-value handling, and model tuning.</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The problem aligns well with commonly asked DS/ML interview case studies.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The high dimensionality allows experimentation with </w:t>
      </w:r>
      <w:r w:rsidDel="00000000" w:rsidR="00000000" w:rsidRPr="00000000">
        <w:rPr>
          <w:b w:val="1"/>
          <w:bCs w:val="1"/>
          <w:rtl w:val="0"/>
        </w:rPr>
        <w:t xml:space="preserve">feature selection methods</w:t>
      </w:r>
      <w:r w:rsidDel="00000000" w:rsidR="00000000" w:rsidRPr="00000000">
        <w:rPr>
          <w:rtl w:val="0"/>
        </w:rPr>
        <w:t xml:space="preserve"> (e.g., mutual information).</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Models like XGBoost, CatBoost, and stacking are ideal for this dataset, making it strong portfolio material.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spacing w:after="240" w:before="240" w:lineRule="auto"/>
        <w:rPr/>
      </w:pPr>
      <w:bookmarkStart w:colFirst="0" w:colLast="0" w:name="_c5qkm63nna1t" w:id="7"/>
      <w:bookmarkEnd w:id="7"/>
      <w:r w:rsidDel="00000000" w:rsidR="00000000" w:rsidRPr="00000000">
        <w:rPr>
          <w:rtl w:val="0"/>
        </w:rPr>
      </w:r>
    </w:p>
    <w:p w:rsidR="00000000" w:rsidDel="00000000" w:rsidP="00000000" w:rsidRDefault="00000000" w:rsidRPr="00000000" w14:paraId="00000028">
      <w:pPr>
        <w:pStyle w:val="Heading1"/>
        <w:spacing w:after="240" w:before="240" w:lineRule="auto"/>
        <w:rPr/>
      </w:pPr>
      <w:bookmarkStart w:colFirst="0" w:colLast="0" w:name="_q0c5ohk0bau0" w:id="8"/>
      <w:bookmarkEnd w:id="8"/>
      <w:r w:rsidDel="00000000" w:rsidR="00000000" w:rsidRPr="00000000">
        <w:rPr>
          <w:rtl w:val="0"/>
        </w:rPr>
        <w:t xml:space="preserve">Planned Modeling Approach</w:t>
      </w:r>
    </w:p>
    <w:p w:rsidR="00000000" w:rsidDel="00000000" w:rsidP="00000000" w:rsidRDefault="00000000" w:rsidRPr="00000000" w14:paraId="00000029">
      <w:pPr>
        <w:spacing w:after="240" w:before="240" w:lineRule="auto"/>
        <w:rPr/>
      </w:pPr>
      <w:r w:rsidDel="00000000" w:rsidR="00000000" w:rsidRPr="00000000">
        <w:rPr>
          <w:rtl w:val="0"/>
        </w:rPr>
        <w:t xml:space="preserve">I plan to structure the project as follows:</w:t>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xt79z9pkvstb" w:id="9"/>
      <w:bookmarkEnd w:id="9"/>
      <w:r w:rsidDel="00000000" w:rsidR="00000000" w:rsidRPr="00000000">
        <w:rPr>
          <w:b w:val="1"/>
          <w:bCs w:val="1"/>
          <w:color w:val="000000"/>
          <w:sz w:val="26"/>
          <w:szCs w:val="26"/>
          <w:rtl w:val="0"/>
        </w:rPr>
        <w:t xml:space="preserve">1. Data Import &amp; Initial Preparation</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Load train.csv.</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Cast categorical fields properly.</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Convert placeholder codes to NaN.</w:t>
      </w:r>
    </w:p>
    <w:p w:rsidR="00000000" w:rsidDel="00000000" w:rsidP="00000000" w:rsidRDefault="00000000" w:rsidRPr="00000000" w14:paraId="0000002E">
      <w:pPr>
        <w:pStyle w:val="Heading3"/>
        <w:keepNext w:val="0"/>
        <w:keepLines w:val="0"/>
        <w:spacing w:before="280" w:lineRule="auto"/>
        <w:ind w:left="720" w:hanging="360"/>
        <w:rPr>
          <w:b w:val="1"/>
          <w:bCs w:val="1"/>
          <w:color w:val="000000"/>
          <w:sz w:val="26"/>
          <w:szCs w:val="26"/>
        </w:rPr>
      </w:pPr>
      <w:bookmarkStart w:colFirst="0" w:colLast="0" w:name="_asxx1r75ayz5" w:id="10"/>
      <w:bookmarkEnd w:id="10"/>
      <w:r w:rsidDel="00000000" w:rsidR="00000000" w:rsidRPr="00000000">
        <w:rPr>
          <w:b w:val="1"/>
          <w:bCs w:val="1"/>
          <w:color w:val="000000"/>
          <w:sz w:val="26"/>
          <w:szCs w:val="26"/>
          <w:rtl w:val="0"/>
        </w:rPr>
        <w:t xml:space="preserve">2. Exploratory Data Analysis</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Inspect class imbalance (expected significant skew).</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Explore missingness patterns (Springleaf is known for heavy missingness).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Sample numeric/categorical distributions to understand feature behavior.</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rtl w:val="0"/>
        </w:rPr>
        <w:t xml:space="preserve">Use correlation and mutual information to identify potentially useful variables.</w:t>
      </w:r>
    </w:p>
    <w:p w:rsidR="00000000" w:rsidDel="00000000" w:rsidP="00000000" w:rsidRDefault="00000000" w:rsidRPr="00000000" w14:paraId="00000033">
      <w:pPr>
        <w:pStyle w:val="Heading3"/>
        <w:keepNext w:val="0"/>
        <w:keepLines w:val="0"/>
        <w:spacing w:before="280" w:lineRule="auto"/>
        <w:ind w:left="720" w:hanging="360"/>
        <w:rPr>
          <w:b w:val="1"/>
          <w:bCs w:val="1"/>
          <w:color w:val="000000"/>
          <w:sz w:val="26"/>
          <w:szCs w:val="26"/>
        </w:rPr>
      </w:pPr>
      <w:bookmarkStart w:colFirst="0" w:colLast="0" w:name="_sr1jeiyxeoeo" w:id="11"/>
      <w:bookmarkEnd w:id="11"/>
      <w:r w:rsidDel="00000000" w:rsidR="00000000" w:rsidRPr="00000000">
        <w:rPr>
          <w:b w:val="1"/>
          <w:bCs w:val="1"/>
          <w:color w:val="000000"/>
          <w:sz w:val="26"/>
          <w:szCs w:val="26"/>
          <w:rtl w:val="0"/>
        </w:rPr>
        <w:t xml:space="preserve">3. Feature Engineering &amp; Selection</w:t>
      </w:r>
    </w:p>
    <w:p w:rsidR="00000000" w:rsidDel="00000000" w:rsidP="00000000" w:rsidRDefault="00000000" w:rsidRPr="00000000" w14:paraId="00000034">
      <w:pPr>
        <w:spacing w:after="240" w:before="240" w:lineRule="auto"/>
        <w:rPr/>
      </w:pPr>
      <w:r w:rsidDel="00000000" w:rsidR="00000000" w:rsidRPr="00000000">
        <w:rPr>
          <w:rtl w:val="0"/>
        </w:rPr>
        <w:t xml:space="preserve">Planned steps included:</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rtl w:val="0"/>
        </w:rPr>
        <w:t xml:space="preserve">Removing </w:t>
      </w:r>
      <w:r w:rsidDel="00000000" w:rsidR="00000000" w:rsidRPr="00000000">
        <w:rPr>
          <w:b w:val="1"/>
          <w:bCs w:val="1"/>
          <w:rtl w:val="0"/>
        </w:rPr>
        <w:t xml:space="preserve">constant and duplicate columns</w:t>
      </w:r>
      <w:r w:rsidDel="00000000" w:rsidR="00000000" w:rsidRPr="00000000">
        <w:rPr>
          <w:rtl w:val="0"/>
        </w:rPr>
        <w:t xml:space="preserve"> (common in this dataset).</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Creating row-level engineered features like:</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rtl w:val="0"/>
        </w:rPr>
        <w:t xml:space="preserve">Missing value count</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rtl w:val="0"/>
        </w:rPr>
        <w:t xml:space="preserve">Missing ratio</w:t>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rtl w:val="0"/>
        </w:rPr>
        <w:t xml:space="preserve">Zero-value count</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mutual information</w:t>
      </w:r>
      <w:r w:rsidDel="00000000" w:rsidR="00000000" w:rsidRPr="00000000">
        <w:rPr>
          <w:rtl w:val="0"/>
        </w:rPr>
        <w:t xml:space="preserve"> to select top numerical features (e.g., top 200).</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Keeping categorical variables as categories to enable efficient encoding.</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nkz499bugib0" w:id="12"/>
      <w:bookmarkEnd w:id="12"/>
      <w:r w:rsidDel="00000000" w:rsidR="00000000" w:rsidRPr="00000000">
        <w:rPr>
          <w:b w:val="1"/>
          <w:bCs w:val="1"/>
          <w:color w:val="000000"/>
          <w:sz w:val="26"/>
          <w:szCs w:val="26"/>
          <w:rtl w:val="0"/>
        </w:rPr>
        <w:t xml:space="preserve">4. Modeling Strategy</w:t>
      </w:r>
    </w:p>
    <w:p w:rsidR="00000000" w:rsidDel="00000000" w:rsidP="00000000" w:rsidRDefault="00000000" w:rsidRPr="00000000" w14:paraId="0000003D">
      <w:pPr>
        <w:spacing w:after="240" w:before="240" w:lineRule="auto"/>
        <w:rPr/>
      </w:pPr>
      <w:r w:rsidDel="00000000" w:rsidR="00000000" w:rsidRPr="00000000">
        <w:rPr>
          <w:rtl w:val="0"/>
        </w:rPr>
        <w:t xml:space="preserve">I planned to train:</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bCs w:val="1"/>
          <w:rtl w:val="0"/>
        </w:rPr>
        <w:t xml:space="preserve">Baseline models</w:t>
      </w:r>
      <w:r w:rsidDel="00000000" w:rsidR="00000000" w:rsidRPr="00000000">
        <w:rPr>
          <w:rtl w:val="0"/>
        </w:rPr>
        <w:t xml:space="preserve">: Dummy Classifier, Logistic Regression</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Tree-based models</w:t>
      </w:r>
      <w:r w:rsidDel="00000000" w:rsidR="00000000" w:rsidRPr="00000000">
        <w:rPr>
          <w:rtl w:val="0"/>
        </w:rPr>
        <w:t xml:space="preserve">: XGBoost, CatBoost</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Hyperparameter tuning</w:t>
      </w:r>
      <w:r w:rsidDel="00000000" w:rsidR="00000000" w:rsidRPr="00000000">
        <w:rPr>
          <w:rtl w:val="0"/>
        </w:rPr>
        <w:t xml:space="preserve"> for XGBoost</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Stacking ensemble</w:t>
      </w:r>
      <w:r w:rsidDel="00000000" w:rsidR="00000000" w:rsidRPr="00000000">
        <w:rPr>
          <w:rtl w:val="0"/>
        </w:rPr>
        <w:t xml:space="preserve"> combining XGBoost and CatBoost</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b w:val="1"/>
          <w:bCs w:val="1"/>
          <w:rtl w:val="0"/>
        </w:rPr>
        <w:t xml:space="preserve">Deep learning model</w:t>
      </w:r>
      <w:r w:rsidDel="00000000" w:rsidR="00000000" w:rsidRPr="00000000">
        <w:rPr>
          <w:rtl w:val="0"/>
        </w:rPr>
        <w:t xml:space="preserve"> (simple feed-forward neural net) to satisfy course requirements</w:t>
      </w:r>
    </w:p>
    <w:p w:rsidR="00000000" w:rsidDel="00000000" w:rsidP="00000000" w:rsidRDefault="00000000" w:rsidRPr="00000000" w14:paraId="00000043">
      <w:pPr>
        <w:spacing w:after="240" w:before="240" w:lineRule="auto"/>
        <w:rPr/>
      </w:pPr>
      <w:r w:rsidDel="00000000" w:rsidR="00000000" w:rsidRPr="00000000">
        <w:rPr>
          <w:rtl w:val="0"/>
        </w:rPr>
        <w:t xml:space="preserve">Metrics:</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rtl w:val="0"/>
        </w:rPr>
        <w:t xml:space="preserve">ROC-AUC (primary)</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PR-AUC (secondary due to imbalance)</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Accuracy for reference only</w:t>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nq9relsd5pmm" w:id="13"/>
      <w:bookmarkEnd w:id="13"/>
      <w:r w:rsidDel="00000000" w:rsidR="00000000" w:rsidRPr="00000000">
        <w:rPr>
          <w:b w:val="1"/>
          <w:bCs w:val="1"/>
          <w:color w:val="000000"/>
          <w:sz w:val="26"/>
          <w:szCs w:val="26"/>
          <w:rtl w:val="0"/>
        </w:rPr>
        <w:t xml:space="preserve">5. Model Interpretation</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XGBoost gain-based feature importance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permutation importance</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Attempt SHAP for deeper interpretability (if library versions allow)</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Translate findings into business insights</w:t>
      </w:r>
    </w:p>
    <w:p w:rsidR="00000000" w:rsidDel="00000000" w:rsidP="00000000" w:rsidRDefault="00000000" w:rsidRPr="00000000" w14:paraId="0000004D">
      <w:pPr>
        <w:pStyle w:val="Heading3"/>
        <w:keepNext w:val="0"/>
        <w:keepLines w:val="0"/>
        <w:spacing w:before="280" w:lineRule="auto"/>
        <w:ind w:left="720" w:hanging="360"/>
        <w:rPr>
          <w:b w:val="1"/>
          <w:bCs w:val="1"/>
          <w:color w:val="000000"/>
          <w:sz w:val="26"/>
          <w:szCs w:val="26"/>
        </w:rPr>
      </w:pPr>
      <w:bookmarkStart w:colFirst="0" w:colLast="0" w:name="_cbzv61ablsdc" w:id="14"/>
      <w:bookmarkEnd w:id="14"/>
      <w:r w:rsidDel="00000000" w:rsidR="00000000" w:rsidRPr="00000000">
        <w:rPr>
          <w:b w:val="1"/>
          <w:bCs w:val="1"/>
          <w:color w:val="000000"/>
          <w:sz w:val="26"/>
          <w:szCs w:val="26"/>
          <w:rtl w:val="0"/>
        </w:rPr>
        <w:t xml:space="preserve">6. Business Application &amp; Recommendations</w:t>
      </w:r>
    </w:p>
    <w:p w:rsidR="00000000" w:rsidDel="00000000" w:rsidP="00000000" w:rsidRDefault="00000000" w:rsidRPr="00000000" w14:paraId="0000004E">
      <w:pPr>
        <w:spacing w:after="240" w:before="240" w:lineRule="auto"/>
        <w:rPr/>
      </w:pPr>
      <w:r w:rsidDel="00000000" w:rsidR="00000000" w:rsidRPr="00000000">
        <w:rPr>
          <w:rtl w:val="0"/>
        </w:rPr>
        <w:t xml:space="preserve">Plan to demonstrate how predictions can be used to:</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tl w:val="0"/>
        </w:rPr>
        <w:t xml:space="preserve">Rank customers by response likelihood</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Optimize mailing lists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Improve campaign ROI</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Guide future segmentation or personalized marketing strategies</w:t>
      </w:r>
    </w:p>
    <w:p w:rsidR="00000000" w:rsidDel="00000000" w:rsidP="00000000" w:rsidRDefault="00000000" w:rsidRPr="00000000" w14:paraId="00000053">
      <w:pPr>
        <w:spacing w:after="240" w:before="240" w:lineRule="auto"/>
        <w:rPr/>
      </w:pPr>
      <w:r w:rsidDel="00000000" w:rsidR="00000000" w:rsidRPr="00000000">
        <w:rPr>
          <w:rtl w:val="0"/>
        </w:rPr>
        <w:t xml:space="preserve">This approach allows me to demonstrate the full pipeline required by the capstone: </w:t>
      </w:r>
      <w:r w:rsidDel="00000000" w:rsidR="00000000" w:rsidRPr="00000000">
        <w:rPr>
          <w:b w:val="1"/>
          <w:bCs w:val="1"/>
          <w:rtl w:val="0"/>
        </w:rPr>
        <w:t xml:space="preserve">problem understanding, EDA, feature engineering, multiple models including deep learning, model tuning and stacking, interpretation, and business-oriented communication of results.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