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38B3" w14:textId="13452AA3" w:rsidR="0034261C" w:rsidRDefault="008C2A99" w:rsidP="008C2A99">
      <w:pPr>
        <w:pStyle w:val="Title"/>
      </w:pPr>
      <w:r w:rsidRPr="008C2A99">
        <w:t xml:space="preserve">Case Study: Leveraging Artificial General </w:t>
      </w:r>
      <w:r>
        <w:t>I</w:t>
      </w:r>
      <w:r w:rsidRPr="008C2A99">
        <w:t xml:space="preserve">ntelligence (AGI) in </w:t>
      </w:r>
      <w:r>
        <w:t>Health Care System</w:t>
      </w:r>
    </w:p>
    <w:p w14:paraId="05B3F0C7" w14:textId="77777777" w:rsidR="00C76496" w:rsidRDefault="00C76496" w:rsidP="00C76496"/>
    <w:p w14:paraId="02C04068" w14:textId="77777777" w:rsidR="00C93194" w:rsidRDefault="00C93194" w:rsidP="00C93194">
      <w:pPr>
        <w:jc w:val="center"/>
        <w:rPr>
          <w:b/>
          <w:bCs/>
          <w:sz w:val="32"/>
          <w:szCs w:val="32"/>
        </w:rPr>
      </w:pPr>
      <w:r w:rsidRPr="00C93194">
        <w:rPr>
          <w:b/>
          <w:bCs/>
          <w:sz w:val="32"/>
          <w:szCs w:val="32"/>
        </w:rPr>
        <w:t>Technical Report: Leveraging AGI in Health Care Systems</w:t>
      </w:r>
    </w:p>
    <w:p w14:paraId="382B245B" w14:textId="77777777" w:rsidR="009E067E" w:rsidRPr="00C93194" w:rsidRDefault="009E067E" w:rsidP="00C93194">
      <w:pPr>
        <w:jc w:val="center"/>
        <w:rPr>
          <w:b/>
          <w:bCs/>
          <w:sz w:val="32"/>
          <w:szCs w:val="32"/>
        </w:rPr>
      </w:pPr>
    </w:p>
    <w:p w14:paraId="24738CA1" w14:textId="77777777" w:rsidR="00C93194" w:rsidRPr="00C93194" w:rsidRDefault="00C93194" w:rsidP="00C93194">
      <w:r w:rsidRPr="00C93194">
        <w:rPr>
          <w:b/>
          <w:bCs/>
        </w:rPr>
        <w:t>1. Introduction</w:t>
      </w:r>
    </w:p>
    <w:p w14:paraId="7FE6D4D4" w14:textId="77777777" w:rsidR="00C93194" w:rsidRPr="00C93194" w:rsidRDefault="00C93194" w:rsidP="00C93194">
      <w:r w:rsidRPr="00C93194">
        <w:t>This report documents our team’s analysis of Artificial General Intelligence (AGI) applications in healthcare. We aimed to address systemic challenges such as workforce shortages, diagnostic fragmentation, and health inequity by proposing AGI-driven solutions. Our activities included researching current AI limitations, identifying AGI opportunities, and evaluating ethical risks.</w:t>
      </w:r>
    </w:p>
    <w:p w14:paraId="557FBFC7" w14:textId="77777777" w:rsidR="00C93194" w:rsidRPr="00C93194" w:rsidRDefault="00C93194" w:rsidP="00C93194">
      <w:r w:rsidRPr="00C93194">
        <w:rPr>
          <w:b/>
          <w:bCs/>
        </w:rPr>
        <w:t>2. Activities Performed</w:t>
      </w:r>
    </w:p>
    <w:p w14:paraId="20ED0B63" w14:textId="77777777" w:rsidR="00C93194" w:rsidRPr="00C93194" w:rsidRDefault="00C93194" w:rsidP="00C93194">
      <w:pPr>
        <w:rPr>
          <w:b/>
          <w:bCs/>
        </w:rPr>
      </w:pPr>
      <w:r w:rsidRPr="00C93194">
        <w:rPr>
          <w:b/>
          <w:bCs/>
        </w:rPr>
        <w:t>2.1 Industry Analysis</w:t>
      </w:r>
    </w:p>
    <w:p w14:paraId="40DAA37D" w14:textId="77777777" w:rsidR="00C93194" w:rsidRPr="00C93194" w:rsidRDefault="00C93194" w:rsidP="00C93194">
      <w:r w:rsidRPr="00C93194">
        <w:t>We analyzed peer-reviewed studies and industry reports to assess healthcare’s current state:</w:t>
      </w:r>
    </w:p>
    <w:p w14:paraId="1EBEDA0A" w14:textId="77777777" w:rsidR="00C93194" w:rsidRPr="00C93194" w:rsidRDefault="00C93194" w:rsidP="00C93194">
      <w:pPr>
        <w:numPr>
          <w:ilvl w:val="0"/>
          <w:numId w:val="11"/>
        </w:numPr>
      </w:pPr>
      <w:r w:rsidRPr="00C93194">
        <w:rPr>
          <w:b/>
          <w:bCs/>
        </w:rPr>
        <w:t>Workforce shortages</w:t>
      </w:r>
      <w:r w:rsidRPr="00C93194">
        <w:t>: 58% of health systems struggle with talent retention.</w:t>
      </w:r>
    </w:p>
    <w:p w14:paraId="1ABF6D21" w14:textId="77777777" w:rsidR="00C93194" w:rsidRPr="00C93194" w:rsidRDefault="00C93194" w:rsidP="00C93194">
      <w:pPr>
        <w:numPr>
          <w:ilvl w:val="0"/>
          <w:numId w:val="11"/>
        </w:numPr>
      </w:pPr>
      <w:r w:rsidRPr="00C93194">
        <w:rPr>
          <w:b/>
          <w:bCs/>
        </w:rPr>
        <w:t>Diagnostic limitations</w:t>
      </w:r>
      <w:r w:rsidRPr="00C93194">
        <w:t>: Narrow AI tools (e.g., radiology algorithms) lack holistic patient context.</w:t>
      </w:r>
    </w:p>
    <w:p w14:paraId="3CCA4702" w14:textId="77777777" w:rsidR="00C93194" w:rsidRPr="00C93194" w:rsidRDefault="00C93194" w:rsidP="00C93194">
      <w:pPr>
        <w:numPr>
          <w:ilvl w:val="0"/>
          <w:numId w:val="11"/>
        </w:numPr>
      </w:pPr>
      <w:r w:rsidRPr="00C93194">
        <w:rPr>
          <w:b/>
          <w:bCs/>
        </w:rPr>
        <w:t>Access disparities</w:t>
      </w:r>
      <w:r w:rsidRPr="00C93194">
        <w:t>: Rural populations face barriers to specialized care.</w:t>
      </w:r>
    </w:p>
    <w:p w14:paraId="3712DE29" w14:textId="77777777" w:rsidR="00C93194" w:rsidRPr="00C93194" w:rsidRDefault="00C93194" w:rsidP="00C93194">
      <w:pPr>
        <w:rPr>
          <w:b/>
          <w:bCs/>
        </w:rPr>
      </w:pPr>
      <w:r w:rsidRPr="00C93194">
        <w:rPr>
          <w:b/>
          <w:bCs/>
        </w:rPr>
        <w:t>2.2 AI/AGI Research</w:t>
      </w:r>
    </w:p>
    <w:p w14:paraId="69E19AD7" w14:textId="77777777" w:rsidR="00C93194" w:rsidRPr="00C93194" w:rsidRDefault="00C93194" w:rsidP="00C93194">
      <w:r w:rsidRPr="00C93194">
        <w:t>We compared narrow AI applications with AGI’s potential:</w:t>
      </w:r>
    </w:p>
    <w:p w14:paraId="0EFE230B" w14:textId="77777777" w:rsidR="00C93194" w:rsidRPr="00C93194" w:rsidRDefault="00C93194" w:rsidP="00C93194">
      <w:pPr>
        <w:numPr>
          <w:ilvl w:val="0"/>
          <w:numId w:val="12"/>
        </w:numPr>
      </w:pPr>
      <w:r w:rsidRPr="00C93194">
        <w:rPr>
          <w:b/>
          <w:bCs/>
        </w:rPr>
        <w:t>Existing AI</w:t>
      </w:r>
      <w:r w:rsidRPr="00C93194">
        <w:t>: Imaging diagnostics, drug discovery, and administrative automation.</w:t>
      </w:r>
    </w:p>
    <w:p w14:paraId="469316EA" w14:textId="77777777" w:rsidR="00C93194" w:rsidRPr="00C93194" w:rsidRDefault="00C93194" w:rsidP="00C93194">
      <w:pPr>
        <w:numPr>
          <w:ilvl w:val="0"/>
          <w:numId w:val="12"/>
        </w:numPr>
      </w:pPr>
      <w:r w:rsidRPr="00C93194">
        <w:rPr>
          <w:b/>
          <w:bCs/>
        </w:rPr>
        <w:t>AGI differentiation</w:t>
      </w:r>
      <w:r w:rsidRPr="00C93194">
        <w:t>: Cross-modal data integration (genetic, clinical, environmental)1.</w:t>
      </w:r>
    </w:p>
    <w:p w14:paraId="13E2F883" w14:textId="77777777" w:rsidR="00C93194" w:rsidRPr="00C93194" w:rsidRDefault="00C93194" w:rsidP="00C93194">
      <w:r w:rsidRPr="00C93194">
        <w:rPr>
          <w:b/>
          <w:bCs/>
        </w:rPr>
        <w:t>3. Results and Findings</w:t>
      </w:r>
    </w:p>
    <w:p w14:paraId="0564637B" w14:textId="77777777" w:rsidR="00C93194" w:rsidRPr="00C93194" w:rsidRDefault="00C93194" w:rsidP="00C93194">
      <w:pPr>
        <w:rPr>
          <w:b/>
          <w:bCs/>
        </w:rPr>
      </w:pPr>
      <w:r w:rsidRPr="00C93194">
        <w:rPr>
          <w:b/>
          <w:bCs/>
        </w:rPr>
        <w:t>3.1 Proposed AGI Applications</w:t>
      </w:r>
    </w:p>
    <w:p w14:paraId="77490766" w14:textId="77777777" w:rsidR="00C93194" w:rsidRPr="00C93194" w:rsidRDefault="00C93194" w:rsidP="00C93194">
      <w:pPr>
        <w:rPr>
          <w:b/>
          <w:bCs/>
        </w:rPr>
      </w:pPr>
      <w:r w:rsidRPr="00C93194">
        <w:rPr>
          <w:b/>
          <w:bCs/>
        </w:rPr>
        <w:t>3.1.1 Holistic Diagnostics</w:t>
      </w:r>
    </w:p>
    <w:p w14:paraId="47ADCA37" w14:textId="77777777" w:rsidR="00C93194" w:rsidRPr="00C93194" w:rsidRDefault="00C93194" w:rsidP="00C93194">
      <w:r w:rsidRPr="00C93194">
        <w:t>AGI synthesizes EHRs, genetic data, and wearable metrics to:</w:t>
      </w:r>
    </w:p>
    <w:p w14:paraId="71338B0D" w14:textId="77777777" w:rsidR="00C93194" w:rsidRPr="00C93194" w:rsidRDefault="00C93194" w:rsidP="00C93194">
      <w:pPr>
        <w:numPr>
          <w:ilvl w:val="0"/>
          <w:numId w:val="13"/>
        </w:numPr>
      </w:pPr>
      <w:r w:rsidRPr="00C93194">
        <w:t>Predict diabetic complications via retinal scans and genetic markers.</w:t>
      </w:r>
    </w:p>
    <w:p w14:paraId="616A6137" w14:textId="77777777" w:rsidR="00C93194" w:rsidRPr="00C93194" w:rsidRDefault="00C93194" w:rsidP="00C93194">
      <w:pPr>
        <w:numPr>
          <w:ilvl w:val="0"/>
          <w:numId w:val="13"/>
        </w:numPr>
      </w:pPr>
      <w:r w:rsidRPr="00C93194">
        <w:t>Detect early-stage cancers through longitudinal imaging analysis.</w:t>
      </w:r>
    </w:p>
    <w:p w14:paraId="49205F9C" w14:textId="77777777" w:rsidR="00C93194" w:rsidRPr="00C93194" w:rsidRDefault="00C93194" w:rsidP="00C93194">
      <w:pPr>
        <w:rPr>
          <w:b/>
          <w:bCs/>
        </w:rPr>
      </w:pPr>
      <w:r w:rsidRPr="00C93194">
        <w:rPr>
          <w:b/>
          <w:bCs/>
        </w:rPr>
        <w:lastRenderedPageBreak/>
        <w:t>3.1.2 Personalized Treatment</w:t>
      </w:r>
    </w:p>
    <w:p w14:paraId="7A00BB56" w14:textId="77777777" w:rsidR="00C93194" w:rsidRPr="00C93194" w:rsidRDefault="00C93194" w:rsidP="00C93194">
      <w:pPr>
        <w:numPr>
          <w:ilvl w:val="0"/>
          <w:numId w:val="14"/>
        </w:numPr>
      </w:pPr>
      <w:r w:rsidRPr="00C93194">
        <w:t>Drug response prediction using genomic profiles.</w:t>
      </w:r>
    </w:p>
    <w:p w14:paraId="091FC004" w14:textId="77777777" w:rsidR="00C93194" w:rsidRPr="00C93194" w:rsidRDefault="00C93194" w:rsidP="00C93194">
      <w:pPr>
        <w:numPr>
          <w:ilvl w:val="0"/>
          <w:numId w:val="14"/>
        </w:numPr>
      </w:pPr>
      <w:r w:rsidRPr="00C93194">
        <w:t>Real-time chemotherapy adjustments via biomarker monitoring.</w:t>
      </w:r>
    </w:p>
    <w:p w14:paraId="221610FA" w14:textId="77777777" w:rsidR="00C93194" w:rsidRPr="00C93194" w:rsidRDefault="00C93194" w:rsidP="00C93194">
      <w:pPr>
        <w:rPr>
          <w:b/>
          <w:bCs/>
        </w:rPr>
      </w:pPr>
      <w:r w:rsidRPr="00C93194">
        <w:rPr>
          <w:b/>
          <w:bCs/>
        </w:rPr>
        <w:t>3.1.3 Workforce Augmentation</w:t>
      </w:r>
    </w:p>
    <w:p w14:paraId="43961126" w14:textId="77777777" w:rsidR="00C93194" w:rsidRPr="00C93194" w:rsidRDefault="00C93194" w:rsidP="00C93194">
      <w:pPr>
        <w:numPr>
          <w:ilvl w:val="0"/>
          <w:numId w:val="15"/>
        </w:numPr>
      </w:pPr>
      <w:r w:rsidRPr="00C93194">
        <w:rPr>
          <w:b/>
          <w:bCs/>
        </w:rPr>
        <w:t>Virtual nursing</w:t>
      </w:r>
      <w:r w:rsidRPr="00C93194">
        <w:t>: AGI manages triage, freeing clinicians for complex cases.</w:t>
      </w:r>
    </w:p>
    <w:p w14:paraId="6F1CBFD6" w14:textId="77777777" w:rsidR="00C93194" w:rsidRPr="00C93194" w:rsidRDefault="00C93194" w:rsidP="00C93194">
      <w:pPr>
        <w:numPr>
          <w:ilvl w:val="0"/>
          <w:numId w:val="15"/>
        </w:numPr>
      </w:pPr>
      <w:r w:rsidRPr="00C93194">
        <w:rPr>
          <w:b/>
          <w:bCs/>
        </w:rPr>
        <w:t>Surgical robotics</w:t>
      </w:r>
      <w:r w:rsidRPr="00C93194">
        <w:t>: AGI adapts to intraoperative complications.</w:t>
      </w:r>
    </w:p>
    <w:p w14:paraId="3CF85733" w14:textId="77777777" w:rsidR="00C93194" w:rsidRPr="00C93194" w:rsidRDefault="00C93194" w:rsidP="00C93194">
      <w:pPr>
        <w:rPr>
          <w:b/>
          <w:bCs/>
        </w:rPr>
      </w:pPr>
      <w:r w:rsidRPr="00C93194">
        <w:rPr>
          <w:b/>
          <w:bCs/>
        </w:rPr>
        <w:t>3.1.4 Health Equity</w:t>
      </w:r>
    </w:p>
    <w:p w14:paraId="1E360D15" w14:textId="77777777" w:rsidR="00C93194" w:rsidRPr="00C93194" w:rsidRDefault="00C93194" w:rsidP="00C93194">
      <w:pPr>
        <w:numPr>
          <w:ilvl w:val="0"/>
          <w:numId w:val="16"/>
        </w:numPr>
      </w:pPr>
      <w:r w:rsidRPr="00C93194">
        <w:t>AGI telemedicine enables specialist diagnostics in remote areas.</w:t>
      </w:r>
    </w:p>
    <w:p w14:paraId="1AA09208" w14:textId="77777777" w:rsidR="00C93194" w:rsidRPr="00C93194" w:rsidRDefault="00C93194" w:rsidP="00C93194">
      <w:pPr>
        <w:numPr>
          <w:ilvl w:val="0"/>
          <w:numId w:val="16"/>
        </w:numPr>
      </w:pPr>
      <w:r w:rsidRPr="00C93194">
        <w:t>Low-cost symptom checkers reduce primary care burdens.</w:t>
      </w:r>
    </w:p>
    <w:p w14:paraId="1D0F079D" w14:textId="77777777" w:rsidR="00C93194" w:rsidRPr="00C93194" w:rsidRDefault="00C93194" w:rsidP="00C93194">
      <w:pPr>
        <w:rPr>
          <w:b/>
          <w:bCs/>
        </w:rPr>
      </w:pPr>
      <w:r w:rsidRPr="00C93194">
        <w:rPr>
          <w:b/>
          <w:bCs/>
        </w:rPr>
        <w:t>3.2 Anticipated Benefits</w:t>
      </w:r>
    </w:p>
    <w:tbl>
      <w:tblPr>
        <w:tblW w:w="9203" w:type="dxa"/>
        <w:tblCellMar>
          <w:top w:w="15" w:type="dxa"/>
          <w:left w:w="15" w:type="dxa"/>
          <w:bottom w:w="15" w:type="dxa"/>
          <w:right w:w="15" w:type="dxa"/>
        </w:tblCellMar>
        <w:tblLook w:val="04A0" w:firstRow="1" w:lastRow="0" w:firstColumn="1" w:lastColumn="0" w:noHBand="0" w:noVBand="1"/>
      </w:tblPr>
      <w:tblGrid>
        <w:gridCol w:w="3405"/>
        <w:gridCol w:w="5798"/>
      </w:tblGrid>
      <w:tr w:rsidR="008556FE" w:rsidRPr="00C93194" w14:paraId="5042C93E" w14:textId="77777777" w:rsidTr="008556FE">
        <w:trPr>
          <w:tblHeader/>
        </w:trPr>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64A3C92E" w14:textId="77777777" w:rsidR="008556FE" w:rsidRPr="00C93194" w:rsidRDefault="008556FE" w:rsidP="00C93194">
            <w:pPr>
              <w:rPr>
                <w:b/>
                <w:bCs/>
              </w:rPr>
            </w:pPr>
            <w:r w:rsidRPr="00C93194">
              <w:rPr>
                <w:b/>
                <w:bCs/>
              </w:rPr>
              <w:t>Area</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7A69DDEC" w14:textId="77777777" w:rsidR="008556FE" w:rsidRPr="00C93194" w:rsidRDefault="008556FE" w:rsidP="00C93194">
            <w:pPr>
              <w:rPr>
                <w:b/>
                <w:bCs/>
              </w:rPr>
            </w:pPr>
            <w:r w:rsidRPr="00C93194">
              <w:rPr>
                <w:b/>
                <w:bCs/>
              </w:rPr>
              <w:t>Impact</w:t>
            </w:r>
          </w:p>
        </w:tc>
      </w:tr>
      <w:tr w:rsidR="008556FE" w:rsidRPr="00C93194" w14:paraId="4D14961F" w14:textId="77777777" w:rsidTr="008556FE">
        <w:tc>
          <w:tcPr>
            <w:tcW w:w="0" w:type="auto"/>
            <w:tcMar>
              <w:top w:w="137" w:type="dxa"/>
              <w:left w:w="120" w:type="dxa"/>
              <w:bottom w:w="137" w:type="dxa"/>
              <w:right w:w="120" w:type="dxa"/>
            </w:tcMar>
            <w:vAlign w:val="bottom"/>
            <w:hideMark/>
          </w:tcPr>
          <w:p w14:paraId="2D2F3C78" w14:textId="77777777" w:rsidR="008556FE" w:rsidRPr="00C93194" w:rsidRDefault="008556FE" w:rsidP="00C93194">
            <w:r w:rsidRPr="00C93194">
              <w:t>Diagnostic accuracy</w:t>
            </w:r>
          </w:p>
        </w:tc>
        <w:tc>
          <w:tcPr>
            <w:tcW w:w="0" w:type="auto"/>
            <w:tcMar>
              <w:top w:w="137" w:type="dxa"/>
              <w:left w:w="120" w:type="dxa"/>
              <w:bottom w:w="137" w:type="dxa"/>
              <w:right w:w="120" w:type="dxa"/>
            </w:tcMar>
            <w:vAlign w:val="bottom"/>
            <w:hideMark/>
          </w:tcPr>
          <w:p w14:paraId="082FA57C" w14:textId="77777777" w:rsidR="008556FE" w:rsidRPr="00C93194" w:rsidRDefault="008556FE" w:rsidP="00C93194">
            <w:r w:rsidRPr="00C93194">
              <w:t>30–50% improvement in early detection</w:t>
            </w:r>
          </w:p>
        </w:tc>
      </w:tr>
      <w:tr w:rsidR="008556FE" w:rsidRPr="00C93194" w14:paraId="74AF846C" w14:textId="77777777" w:rsidTr="008556FE">
        <w:tc>
          <w:tcPr>
            <w:tcW w:w="0" w:type="auto"/>
            <w:tcMar>
              <w:top w:w="137" w:type="dxa"/>
              <w:left w:w="120" w:type="dxa"/>
              <w:bottom w:w="137" w:type="dxa"/>
              <w:right w:w="120" w:type="dxa"/>
            </w:tcMar>
            <w:vAlign w:val="bottom"/>
            <w:hideMark/>
          </w:tcPr>
          <w:p w14:paraId="29D005B8" w14:textId="77777777" w:rsidR="008556FE" w:rsidRPr="00C93194" w:rsidRDefault="008556FE" w:rsidP="00C93194">
            <w:r w:rsidRPr="00C93194">
              <w:t>Treatment personalization</w:t>
            </w:r>
          </w:p>
        </w:tc>
        <w:tc>
          <w:tcPr>
            <w:tcW w:w="0" w:type="auto"/>
            <w:tcMar>
              <w:top w:w="137" w:type="dxa"/>
              <w:left w:w="120" w:type="dxa"/>
              <w:bottom w:w="137" w:type="dxa"/>
              <w:right w:w="120" w:type="dxa"/>
            </w:tcMar>
            <w:vAlign w:val="bottom"/>
            <w:hideMark/>
          </w:tcPr>
          <w:p w14:paraId="2C78313F" w14:textId="77777777" w:rsidR="008556FE" w:rsidRPr="00C93194" w:rsidRDefault="008556FE" w:rsidP="00C93194">
            <w:r w:rsidRPr="00C93194">
              <w:t>40% reduction in adverse drug reactions</w:t>
            </w:r>
          </w:p>
        </w:tc>
      </w:tr>
      <w:tr w:rsidR="008556FE" w:rsidRPr="00C93194" w14:paraId="42B278A0" w14:textId="77777777" w:rsidTr="008556FE">
        <w:tc>
          <w:tcPr>
            <w:tcW w:w="0" w:type="auto"/>
            <w:tcMar>
              <w:top w:w="137" w:type="dxa"/>
              <w:left w:w="120" w:type="dxa"/>
              <w:bottom w:w="137" w:type="dxa"/>
              <w:right w:w="120" w:type="dxa"/>
            </w:tcMar>
            <w:vAlign w:val="bottom"/>
            <w:hideMark/>
          </w:tcPr>
          <w:p w14:paraId="0C78265D" w14:textId="77777777" w:rsidR="008556FE" w:rsidRPr="00C93194" w:rsidRDefault="008556FE" w:rsidP="00C93194">
            <w:r w:rsidRPr="00C93194">
              <w:t>Cost efficiency</w:t>
            </w:r>
          </w:p>
        </w:tc>
        <w:tc>
          <w:tcPr>
            <w:tcW w:w="0" w:type="auto"/>
            <w:tcMar>
              <w:top w:w="137" w:type="dxa"/>
              <w:left w:w="120" w:type="dxa"/>
              <w:bottom w:w="137" w:type="dxa"/>
              <w:right w:w="120" w:type="dxa"/>
            </w:tcMar>
            <w:vAlign w:val="bottom"/>
            <w:hideMark/>
          </w:tcPr>
          <w:p w14:paraId="78646C76" w14:textId="77777777" w:rsidR="008556FE" w:rsidRPr="00C93194" w:rsidRDefault="008556FE" w:rsidP="00C93194">
            <w:r w:rsidRPr="00C93194">
              <w:t>$200B/year saved in U.S. administrative tasks</w:t>
            </w:r>
          </w:p>
        </w:tc>
      </w:tr>
    </w:tbl>
    <w:p w14:paraId="53CA7CAC" w14:textId="77777777" w:rsidR="00C93194" w:rsidRPr="00C93194" w:rsidRDefault="00C93194" w:rsidP="00C93194">
      <w:r w:rsidRPr="00C93194">
        <w:rPr>
          <w:b/>
          <w:bCs/>
        </w:rPr>
        <w:t>4. Risks and Mitigation Strategies</w:t>
      </w:r>
    </w:p>
    <w:p w14:paraId="1A1DB791" w14:textId="77777777" w:rsidR="00C93194" w:rsidRPr="00C93194" w:rsidRDefault="00C93194" w:rsidP="00C93194">
      <w:pPr>
        <w:rPr>
          <w:b/>
          <w:bCs/>
        </w:rPr>
      </w:pPr>
      <w:r w:rsidRPr="00C93194">
        <w:rPr>
          <w:b/>
          <w:bCs/>
        </w:rPr>
        <w:t>4.1 Technical Challenges</w:t>
      </w:r>
    </w:p>
    <w:p w14:paraId="0117EA6E" w14:textId="77777777" w:rsidR="00C93194" w:rsidRPr="00C93194" w:rsidRDefault="00C93194" w:rsidP="00C93194">
      <w:pPr>
        <w:numPr>
          <w:ilvl w:val="0"/>
          <w:numId w:val="17"/>
        </w:numPr>
      </w:pPr>
      <w:r w:rsidRPr="00C93194">
        <w:rPr>
          <w:b/>
          <w:bCs/>
        </w:rPr>
        <w:t>Data bias</w:t>
      </w:r>
      <w:r w:rsidRPr="00C93194">
        <w:t>: Non-diverse training datasets may worsen disparities.</w:t>
      </w:r>
    </w:p>
    <w:p w14:paraId="0D892CA5" w14:textId="77777777" w:rsidR="00C93194" w:rsidRPr="00C93194" w:rsidRDefault="00C93194" w:rsidP="00C93194">
      <w:pPr>
        <w:numPr>
          <w:ilvl w:val="0"/>
          <w:numId w:val="17"/>
        </w:numPr>
      </w:pPr>
      <w:r w:rsidRPr="00C93194">
        <w:rPr>
          <w:b/>
          <w:bCs/>
        </w:rPr>
        <w:t>Interpretability</w:t>
      </w:r>
      <w:r w:rsidRPr="00C93194">
        <w:t>: “Black box” decisions complicate accountability.</w:t>
      </w:r>
    </w:p>
    <w:p w14:paraId="62826FA3" w14:textId="77777777" w:rsidR="00C93194" w:rsidRPr="00C93194" w:rsidRDefault="00C93194" w:rsidP="00C93194">
      <w:pPr>
        <w:rPr>
          <w:b/>
          <w:bCs/>
        </w:rPr>
      </w:pPr>
      <w:r w:rsidRPr="00C93194">
        <w:rPr>
          <w:b/>
          <w:bCs/>
        </w:rPr>
        <w:t>4.2 Ethical Concerns</w:t>
      </w:r>
    </w:p>
    <w:p w14:paraId="4101A050" w14:textId="77777777" w:rsidR="00C93194" w:rsidRPr="00C93194" w:rsidRDefault="00C93194" w:rsidP="00C93194">
      <w:pPr>
        <w:numPr>
          <w:ilvl w:val="0"/>
          <w:numId w:val="18"/>
        </w:numPr>
      </w:pPr>
      <w:r w:rsidRPr="00C93194">
        <w:rPr>
          <w:b/>
          <w:bCs/>
        </w:rPr>
        <w:t>Job displacement</w:t>
      </w:r>
      <w:r w:rsidRPr="00C93194">
        <w:t>: 15–20% of diagnostic roles may require reskilling by 2030.</w:t>
      </w:r>
    </w:p>
    <w:p w14:paraId="766FE1FE" w14:textId="77777777" w:rsidR="00C93194" w:rsidRPr="00C93194" w:rsidRDefault="00C93194" w:rsidP="00C93194">
      <w:pPr>
        <w:numPr>
          <w:ilvl w:val="0"/>
          <w:numId w:val="18"/>
        </w:numPr>
      </w:pPr>
      <w:r w:rsidRPr="00C93194">
        <w:rPr>
          <w:b/>
          <w:bCs/>
        </w:rPr>
        <w:t>Privacy risks</w:t>
      </w:r>
      <w:r w:rsidRPr="00C93194">
        <w:t>: Centralized data systems attract cyberattacks.</w:t>
      </w:r>
    </w:p>
    <w:p w14:paraId="3D3DD1AC" w14:textId="77777777" w:rsidR="00C93194" w:rsidRPr="00C93194" w:rsidRDefault="00C93194" w:rsidP="00C93194">
      <w:pPr>
        <w:rPr>
          <w:b/>
          <w:bCs/>
        </w:rPr>
      </w:pPr>
      <w:r w:rsidRPr="00C93194">
        <w:rPr>
          <w:b/>
          <w:bCs/>
        </w:rPr>
        <w:t>4.3 Mitigation Approaches</w:t>
      </w:r>
    </w:p>
    <w:p w14:paraId="07A18BD4" w14:textId="77777777" w:rsidR="00C93194" w:rsidRPr="00C93194" w:rsidRDefault="00C93194" w:rsidP="00C93194">
      <w:pPr>
        <w:numPr>
          <w:ilvl w:val="0"/>
          <w:numId w:val="19"/>
        </w:numPr>
      </w:pPr>
      <w:r w:rsidRPr="00C93194">
        <w:rPr>
          <w:b/>
          <w:bCs/>
        </w:rPr>
        <w:t>Regulatory sandboxes</w:t>
      </w:r>
      <w:r w:rsidRPr="00C93194">
        <w:t>: Test AGI in controlled environments.</w:t>
      </w:r>
    </w:p>
    <w:p w14:paraId="5B7DFD69" w14:textId="77777777" w:rsidR="00C93194" w:rsidRPr="00C93194" w:rsidRDefault="00C93194" w:rsidP="00C93194">
      <w:pPr>
        <w:numPr>
          <w:ilvl w:val="0"/>
          <w:numId w:val="19"/>
        </w:numPr>
      </w:pPr>
      <w:r w:rsidRPr="00C93194">
        <w:rPr>
          <w:b/>
          <w:bCs/>
        </w:rPr>
        <w:t>Equity audits</w:t>
      </w:r>
      <w:r w:rsidRPr="00C93194">
        <w:t>: Mandate bias checks in training data.</w:t>
      </w:r>
    </w:p>
    <w:p w14:paraId="55331A49" w14:textId="77777777" w:rsidR="0055120C" w:rsidRDefault="0055120C" w:rsidP="00C93194">
      <w:pPr>
        <w:rPr>
          <w:b/>
          <w:bCs/>
        </w:rPr>
      </w:pPr>
    </w:p>
    <w:p w14:paraId="0B6F843B" w14:textId="015FD9CC" w:rsidR="00C93194" w:rsidRPr="00C93194" w:rsidRDefault="00C93194" w:rsidP="00C93194">
      <w:r w:rsidRPr="00C93194">
        <w:rPr>
          <w:b/>
          <w:bCs/>
        </w:rPr>
        <w:lastRenderedPageBreak/>
        <w:t>5. Lessons Learned</w:t>
      </w:r>
    </w:p>
    <w:p w14:paraId="5030922A" w14:textId="77777777" w:rsidR="00C93194" w:rsidRPr="00C93194" w:rsidRDefault="00C93194" w:rsidP="00C93194">
      <w:pPr>
        <w:numPr>
          <w:ilvl w:val="0"/>
          <w:numId w:val="20"/>
        </w:numPr>
      </w:pPr>
      <w:r w:rsidRPr="00C93194">
        <w:t>AGI’s multimodal integration addresses gaps in narrow AI.</w:t>
      </w:r>
    </w:p>
    <w:p w14:paraId="72644114" w14:textId="77777777" w:rsidR="00C93194" w:rsidRPr="00C93194" w:rsidRDefault="00C93194" w:rsidP="00C93194">
      <w:pPr>
        <w:numPr>
          <w:ilvl w:val="0"/>
          <w:numId w:val="20"/>
        </w:numPr>
      </w:pPr>
      <w:r w:rsidRPr="00C93194">
        <w:t>Ethical governance is critical to prevent bias and privacy breaches.</w:t>
      </w:r>
    </w:p>
    <w:p w14:paraId="0B2184B8" w14:textId="77777777" w:rsidR="00C93194" w:rsidRPr="00C93194" w:rsidRDefault="00C93194" w:rsidP="00C93194">
      <w:pPr>
        <w:numPr>
          <w:ilvl w:val="0"/>
          <w:numId w:val="20"/>
        </w:numPr>
      </w:pPr>
      <w:r w:rsidRPr="00C93194">
        <w:t>Workforce training programs are essential for AGI adoption.</w:t>
      </w:r>
    </w:p>
    <w:p w14:paraId="1FED426A" w14:textId="77777777" w:rsidR="00C93194" w:rsidRDefault="00C93194" w:rsidP="00C93194">
      <w:pPr>
        <w:rPr>
          <w:b/>
          <w:bCs/>
        </w:rPr>
      </w:pPr>
      <w:r w:rsidRPr="00C93194">
        <w:rPr>
          <w:b/>
          <w:bCs/>
        </w:rPr>
        <w:t>6. Visual Appendix</w:t>
      </w:r>
    </w:p>
    <w:p w14:paraId="00658E8E" w14:textId="77777777" w:rsidR="0055120C" w:rsidRDefault="0055120C" w:rsidP="00C93194">
      <w:pPr>
        <w:rPr>
          <w:b/>
          <w:bCs/>
        </w:rPr>
      </w:pPr>
    </w:p>
    <w:p w14:paraId="3A1148F5" w14:textId="77777777" w:rsidR="0055120C" w:rsidRPr="00C93194" w:rsidRDefault="0055120C" w:rsidP="00C93194"/>
    <w:p w14:paraId="2E088D73" w14:textId="77777777" w:rsidR="00C93194" w:rsidRPr="00C93194" w:rsidRDefault="00C93194" w:rsidP="00C93194">
      <w:r w:rsidRPr="00C93194">
        <w:rPr>
          <w:b/>
          <w:bCs/>
        </w:rPr>
        <w:t>7. References</w:t>
      </w:r>
    </w:p>
    <w:p w14:paraId="1927452E" w14:textId="0410A7C3" w:rsidR="00C93194" w:rsidRPr="00C93194" w:rsidRDefault="00C93194" w:rsidP="00C93194">
      <w:pPr>
        <w:numPr>
          <w:ilvl w:val="0"/>
          <w:numId w:val="21"/>
        </w:numPr>
      </w:pPr>
      <w:r w:rsidRPr="00C93194">
        <w:t>BW Healthcare World. (2024). </w:t>
      </w:r>
      <w:r w:rsidRPr="00C93194">
        <w:rPr>
          <w:i/>
          <w:iCs/>
        </w:rPr>
        <w:t>Artificial General Intelligence: A New Era In Healthcare Innovation</w:t>
      </w:r>
      <w:r w:rsidRPr="00C93194">
        <w:t>. </w:t>
      </w:r>
      <w:r w:rsidR="000D1033" w:rsidRPr="00C93194">
        <w:t xml:space="preserve"> </w:t>
      </w:r>
    </w:p>
    <w:p w14:paraId="1295A55E" w14:textId="68B36BB9" w:rsidR="00C93194" w:rsidRPr="00C93194" w:rsidRDefault="00C93194" w:rsidP="00C93194">
      <w:pPr>
        <w:numPr>
          <w:ilvl w:val="0"/>
          <w:numId w:val="21"/>
        </w:numPr>
      </w:pPr>
      <w:r w:rsidRPr="00C93194">
        <w:t>Just Think AI. </w:t>
      </w:r>
      <w:r w:rsidRPr="00C93194">
        <w:rPr>
          <w:i/>
          <w:iCs/>
        </w:rPr>
        <w:t>What is AGI in healthcare?</w:t>
      </w:r>
      <w:r w:rsidRPr="00C93194">
        <w:t> </w:t>
      </w:r>
      <w:r w:rsidR="000D1033" w:rsidRPr="00C93194">
        <w:t xml:space="preserve"> </w:t>
      </w:r>
    </w:p>
    <w:p w14:paraId="11F5CEB5" w14:textId="4F5DA9B3" w:rsidR="00C93194" w:rsidRPr="00C93194" w:rsidRDefault="00C93194" w:rsidP="00C93194">
      <w:pPr>
        <w:numPr>
          <w:ilvl w:val="0"/>
          <w:numId w:val="21"/>
        </w:numPr>
      </w:pPr>
      <w:r w:rsidRPr="00C93194">
        <w:t>American Medical Association. (2024). </w:t>
      </w:r>
      <w:r w:rsidRPr="00C93194">
        <w:rPr>
          <w:i/>
          <w:iCs/>
        </w:rPr>
        <w:t>Leveraging Technology and Value-Based Care</w:t>
      </w:r>
      <w:r w:rsidRPr="00C93194">
        <w:t>. </w:t>
      </w:r>
      <w:r w:rsidR="000D1033" w:rsidRPr="00C93194">
        <w:t xml:space="preserve"> </w:t>
      </w:r>
    </w:p>
    <w:p w14:paraId="1E07BB24" w14:textId="5DCEDF4C" w:rsidR="00C93194" w:rsidRPr="00C93194" w:rsidRDefault="00C93194" w:rsidP="00C93194">
      <w:pPr>
        <w:numPr>
          <w:ilvl w:val="0"/>
          <w:numId w:val="21"/>
        </w:numPr>
      </w:pPr>
      <w:r w:rsidRPr="00C93194">
        <w:t>American Medical Association. (2024). </w:t>
      </w:r>
      <w:r w:rsidRPr="00C93194">
        <w:rPr>
          <w:i/>
          <w:iCs/>
        </w:rPr>
        <w:t>Ethical AI Use in Care</w:t>
      </w:r>
      <w:r w:rsidRPr="00C93194">
        <w:t>. </w:t>
      </w:r>
      <w:r w:rsidR="000D1033" w:rsidRPr="00C93194">
        <w:t xml:space="preserve"> </w:t>
      </w:r>
    </w:p>
    <w:p w14:paraId="29A30F33" w14:textId="0A6D7939" w:rsidR="00C93194" w:rsidRPr="00C93194" w:rsidRDefault="00C93194" w:rsidP="00C93194">
      <w:pPr>
        <w:numPr>
          <w:ilvl w:val="0"/>
          <w:numId w:val="21"/>
        </w:numPr>
      </w:pPr>
      <w:r w:rsidRPr="00C93194">
        <w:t>Shenoy, A. (2025). </w:t>
      </w:r>
      <w:r w:rsidRPr="00C93194">
        <w:rPr>
          <w:i/>
          <w:iCs/>
        </w:rPr>
        <w:t>AGI Impact on Healthcare</w:t>
      </w:r>
      <w:r w:rsidRPr="00C93194">
        <w:t>.</w:t>
      </w:r>
      <w:r w:rsidR="000D1033" w:rsidRPr="00C93194">
        <w:t xml:space="preserve"> </w:t>
      </w:r>
    </w:p>
    <w:p w14:paraId="6F8AD710" w14:textId="63D23207" w:rsidR="00C93194" w:rsidRPr="00C93194" w:rsidRDefault="00C93194" w:rsidP="00C93194">
      <w:pPr>
        <w:numPr>
          <w:ilvl w:val="0"/>
          <w:numId w:val="21"/>
        </w:numPr>
      </w:pPr>
      <w:r w:rsidRPr="00C93194">
        <w:t>Boston Consulting Group. (2025). </w:t>
      </w:r>
      <w:r w:rsidRPr="00C93194">
        <w:rPr>
          <w:i/>
          <w:iCs/>
        </w:rPr>
        <w:t>Digital &amp; AI in Healthcare</w:t>
      </w:r>
      <w:r w:rsidRPr="00C93194">
        <w:t>. </w:t>
      </w:r>
      <w:r w:rsidR="000D1033" w:rsidRPr="00C93194">
        <w:t xml:space="preserve"> </w:t>
      </w:r>
    </w:p>
    <w:p w14:paraId="3C698237" w14:textId="3AA8817C" w:rsidR="00C93194" w:rsidRPr="00C93194" w:rsidRDefault="00C93194" w:rsidP="00C93194">
      <w:pPr>
        <w:numPr>
          <w:ilvl w:val="0"/>
          <w:numId w:val="21"/>
        </w:numPr>
      </w:pPr>
      <w:r w:rsidRPr="00C93194">
        <w:t>VKTR.com. (2024). </w:t>
      </w:r>
      <w:r w:rsidRPr="00C93194">
        <w:rPr>
          <w:i/>
          <w:iCs/>
        </w:rPr>
        <w:t>AI Case Studies in Healthcare</w:t>
      </w:r>
      <w:r w:rsidRPr="00C93194">
        <w:t>. </w:t>
      </w:r>
      <w:r w:rsidR="000D1033" w:rsidRPr="00C93194">
        <w:t xml:space="preserve"> </w:t>
      </w:r>
    </w:p>
    <w:p w14:paraId="36B54622" w14:textId="35A2E71E" w:rsidR="00C93194" w:rsidRPr="00C93194" w:rsidRDefault="00C93194" w:rsidP="00C93194">
      <w:pPr>
        <w:numPr>
          <w:ilvl w:val="0"/>
          <w:numId w:val="21"/>
        </w:numPr>
      </w:pPr>
      <w:r w:rsidRPr="00C93194">
        <w:t>American Nurses Association. (2022). </w:t>
      </w:r>
      <w:r w:rsidRPr="00C93194">
        <w:rPr>
          <w:i/>
          <w:iCs/>
        </w:rPr>
        <w:t>AI Ethics in Nursing</w:t>
      </w:r>
      <w:r w:rsidRPr="00C93194">
        <w:t>.</w:t>
      </w:r>
      <w:r w:rsidR="000D1033" w:rsidRPr="00C93194">
        <w:t xml:space="preserve"> </w:t>
      </w:r>
    </w:p>
    <w:p w14:paraId="7E689ABA" w14:textId="6287AA12" w:rsidR="00C76496" w:rsidRPr="00C76496" w:rsidRDefault="00C93194" w:rsidP="00C93194">
      <w:pPr>
        <w:numPr>
          <w:ilvl w:val="0"/>
          <w:numId w:val="21"/>
        </w:numPr>
      </w:pPr>
      <w:r w:rsidRPr="00C93194">
        <w:t>Syzygy Group. (2024). </w:t>
      </w:r>
      <w:r w:rsidRPr="00C93194">
        <w:rPr>
          <w:i/>
          <w:iCs/>
        </w:rPr>
        <w:t>AGI and Personalized Medicine</w:t>
      </w:r>
      <w:r w:rsidRPr="00C93194">
        <w:t>. </w:t>
      </w:r>
      <w:r w:rsidR="000D1033" w:rsidRPr="00C76496">
        <w:t xml:space="preserve"> </w:t>
      </w:r>
    </w:p>
    <w:sectPr w:rsidR="00C76496" w:rsidRPr="00C764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53A3"/>
    <w:multiLevelType w:val="multilevel"/>
    <w:tmpl w:val="D306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7E747C"/>
    <w:multiLevelType w:val="multilevel"/>
    <w:tmpl w:val="30E0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0E68FA"/>
    <w:multiLevelType w:val="multilevel"/>
    <w:tmpl w:val="030C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241F52"/>
    <w:multiLevelType w:val="multilevel"/>
    <w:tmpl w:val="9F5E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46074E"/>
    <w:multiLevelType w:val="multilevel"/>
    <w:tmpl w:val="F188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2C59DA"/>
    <w:multiLevelType w:val="multilevel"/>
    <w:tmpl w:val="7BDE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010533"/>
    <w:multiLevelType w:val="multilevel"/>
    <w:tmpl w:val="564A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6061BD"/>
    <w:multiLevelType w:val="multilevel"/>
    <w:tmpl w:val="97F8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0960D0"/>
    <w:multiLevelType w:val="multilevel"/>
    <w:tmpl w:val="BF7E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843366"/>
    <w:multiLevelType w:val="multilevel"/>
    <w:tmpl w:val="0A7A4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EB098D"/>
    <w:multiLevelType w:val="multilevel"/>
    <w:tmpl w:val="261AF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5B7085"/>
    <w:multiLevelType w:val="multilevel"/>
    <w:tmpl w:val="BB06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CC144E"/>
    <w:multiLevelType w:val="multilevel"/>
    <w:tmpl w:val="46C0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3244FC"/>
    <w:multiLevelType w:val="multilevel"/>
    <w:tmpl w:val="64BA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B94245"/>
    <w:multiLevelType w:val="multilevel"/>
    <w:tmpl w:val="3336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4D499C"/>
    <w:multiLevelType w:val="multilevel"/>
    <w:tmpl w:val="76E2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F64E2E"/>
    <w:multiLevelType w:val="multilevel"/>
    <w:tmpl w:val="EC02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BA0C55"/>
    <w:multiLevelType w:val="multilevel"/>
    <w:tmpl w:val="BB70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972215"/>
    <w:multiLevelType w:val="multilevel"/>
    <w:tmpl w:val="4FEC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C34393"/>
    <w:multiLevelType w:val="multilevel"/>
    <w:tmpl w:val="3120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DD4BB4"/>
    <w:multiLevelType w:val="multilevel"/>
    <w:tmpl w:val="E714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7423660">
    <w:abstractNumId w:val="14"/>
  </w:num>
  <w:num w:numId="2" w16cid:durableId="314146255">
    <w:abstractNumId w:val="18"/>
  </w:num>
  <w:num w:numId="3" w16cid:durableId="2123724643">
    <w:abstractNumId w:val="12"/>
  </w:num>
  <w:num w:numId="4" w16cid:durableId="2140831729">
    <w:abstractNumId w:val="19"/>
  </w:num>
  <w:num w:numId="5" w16cid:durableId="1373310353">
    <w:abstractNumId w:val="1"/>
  </w:num>
  <w:num w:numId="6" w16cid:durableId="514222958">
    <w:abstractNumId w:val="5"/>
  </w:num>
  <w:num w:numId="7" w16cid:durableId="1313873488">
    <w:abstractNumId w:val="8"/>
  </w:num>
  <w:num w:numId="8" w16cid:durableId="1060247851">
    <w:abstractNumId w:val="2"/>
  </w:num>
  <w:num w:numId="9" w16cid:durableId="704449061">
    <w:abstractNumId w:val="17"/>
  </w:num>
  <w:num w:numId="10" w16cid:durableId="1931352500">
    <w:abstractNumId w:val="11"/>
  </w:num>
  <w:num w:numId="11" w16cid:durableId="569197503">
    <w:abstractNumId w:val="7"/>
  </w:num>
  <w:num w:numId="12" w16cid:durableId="230165107">
    <w:abstractNumId w:val="16"/>
  </w:num>
  <w:num w:numId="13" w16cid:durableId="2112971639">
    <w:abstractNumId w:val="0"/>
  </w:num>
  <w:num w:numId="14" w16cid:durableId="1813474452">
    <w:abstractNumId w:val="3"/>
  </w:num>
  <w:num w:numId="15" w16cid:durableId="335353277">
    <w:abstractNumId w:val="15"/>
  </w:num>
  <w:num w:numId="16" w16cid:durableId="961233491">
    <w:abstractNumId w:val="13"/>
  </w:num>
  <w:num w:numId="17" w16cid:durableId="2029864337">
    <w:abstractNumId w:val="4"/>
  </w:num>
  <w:num w:numId="18" w16cid:durableId="1168593817">
    <w:abstractNumId w:val="6"/>
  </w:num>
  <w:num w:numId="19" w16cid:durableId="346644046">
    <w:abstractNumId w:val="20"/>
  </w:num>
  <w:num w:numId="20" w16cid:durableId="1291207798">
    <w:abstractNumId w:val="10"/>
  </w:num>
  <w:num w:numId="21" w16cid:durableId="8712608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A99"/>
    <w:rsid w:val="000D1033"/>
    <w:rsid w:val="0034261C"/>
    <w:rsid w:val="00355649"/>
    <w:rsid w:val="00530CF4"/>
    <w:rsid w:val="0055120C"/>
    <w:rsid w:val="00551A35"/>
    <w:rsid w:val="00767DFE"/>
    <w:rsid w:val="008556FE"/>
    <w:rsid w:val="0088625B"/>
    <w:rsid w:val="008C2A99"/>
    <w:rsid w:val="009E067E"/>
    <w:rsid w:val="00AB20B2"/>
    <w:rsid w:val="00C76496"/>
    <w:rsid w:val="00C93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3D7D5"/>
  <w15:chartTrackingRefBased/>
  <w15:docId w15:val="{041E84BA-78E8-4475-A98B-EA17CC65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A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A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2A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2A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2A9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2A9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2A9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A9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A9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C2A9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C2A9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2A9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2A9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2A9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2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A9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A9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C2A99"/>
    <w:pPr>
      <w:spacing w:before="160"/>
      <w:jc w:val="center"/>
    </w:pPr>
    <w:rPr>
      <w:i/>
      <w:iCs/>
      <w:color w:val="404040" w:themeColor="text1" w:themeTint="BF"/>
    </w:rPr>
  </w:style>
  <w:style w:type="character" w:customStyle="1" w:styleId="QuoteChar">
    <w:name w:val="Quote Char"/>
    <w:basedOn w:val="DefaultParagraphFont"/>
    <w:link w:val="Quote"/>
    <w:uiPriority w:val="29"/>
    <w:rsid w:val="008C2A99"/>
    <w:rPr>
      <w:i/>
      <w:iCs/>
      <w:color w:val="404040" w:themeColor="text1" w:themeTint="BF"/>
    </w:rPr>
  </w:style>
  <w:style w:type="paragraph" w:styleId="ListParagraph">
    <w:name w:val="List Paragraph"/>
    <w:basedOn w:val="Normal"/>
    <w:uiPriority w:val="34"/>
    <w:qFormat/>
    <w:rsid w:val="008C2A99"/>
    <w:pPr>
      <w:ind w:left="720"/>
      <w:contextualSpacing/>
    </w:pPr>
  </w:style>
  <w:style w:type="character" w:styleId="IntenseEmphasis">
    <w:name w:val="Intense Emphasis"/>
    <w:basedOn w:val="DefaultParagraphFont"/>
    <w:uiPriority w:val="21"/>
    <w:qFormat/>
    <w:rsid w:val="008C2A99"/>
    <w:rPr>
      <w:i/>
      <w:iCs/>
      <w:color w:val="0F4761" w:themeColor="accent1" w:themeShade="BF"/>
    </w:rPr>
  </w:style>
  <w:style w:type="paragraph" w:styleId="IntenseQuote">
    <w:name w:val="Intense Quote"/>
    <w:basedOn w:val="Normal"/>
    <w:next w:val="Normal"/>
    <w:link w:val="IntenseQuoteChar"/>
    <w:uiPriority w:val="30"/>
    <w:qFormat/>
    <w:rsid w:val="008C2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A99"/>
    <w:rPr>
      <w:i/>
      <w:iCs/>
      <w:color w:val="0F4761" w:themeColor="accent1" w:themeShade="BF"/>
    </w:rPr>
  </w:style>
  <w:style w:type="character" w:styleId="IntenseReference">
    <w:name w:val="Intense Reference"/>
    <w:basedOn w:val="DefaultParagraphFont"/>
    <w:uiPriority w:val="32"/>
    <w:qFormat/>
    <w:rsid w:val="008C2A99"/>
    <w:rPr>
      <w:b/>
      <w:bCs/>
      <w:smallCaps/>
      <w:color w:val="0F4761" w:themeColor="accent1" w:themeShade="BF"/>
      <w:spacing w:val="5"/>
    </w:rPr>
  </w:style>
  <w:style w:type="character" w:styleId="Hyperlink">
    <w:name w:val="Hyperlink"/>
    <w:basedOn w:val="DefaultParagraphFont"/>
    <w:uiPriority w:val="99"/>
    <w:unhideWhenUsed/>
    <w:rsid w:val="00C76496"/>
    <w:rPr>
      <w:color w:val="467886" w:themeColor="hyperlink"/>
      <w:u w:val="single"/>
    </w:rPr>
  </w:style>
  <w:style w:type="character" w:styleId="UnresolvedMention">
    <w:name w:val="Unresolved Mention"/>
    <w:basedOn w:val="DefaultParagraphFont"/>
    <w:uiPriority w:val="99"/>
    <w:semiHidden/>
    <w:unhideWhenUsed/>
    <w:rsid w:val="00C764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4369313">
      <w:bodyDiv w:val="1"/>
      <w:marLeft w:val="0"/>
      <w:marRight w:val="0"/>
      <w:marTop w:val="0"/>
      <w:marBottom w:val="0"/>
      <w:divBdr>
        <w:top w:val="none" w:sz="0" w:space="0" w:color="auto"/>
        <w:left w:val="none" w:sz="0" w:space="0" w:color="auto"/>
        <w:bottom w:val="none" w:sz="0" w:space="0" w:color="auto"/>
        <w:right w:val="none" w:sz="0" w:space="0" w:color="auto"/>
      </w:divBdr>
      <w:divsChild>
        <w:div w:id="37435053">
          <w:marLeft w:val="0"/>
          <w:marRight w:val="0"/>
          <w:marTop w:val="0"/>
          <w:marBottom w:val="0"/>
          <w:divBdr>
            <w:top w:val="none" w:sz="0" w:space="0" w:color="auto"/>
            <w:left w:val="none" w:sz="0" w:space="0" w:color="auto"/>
            <w:bottom w:val="none" w:sz="0" w:space="0" w:color="auto"/>
            <w:right w:val="none" w:sz="0" w:space="0" w:color="auto"/>
          </w:divBdr>
        </w:div>
      </w:divsChild>
    </w:div>
    <w:div w:id="1235162999">
      <w:bodyDiv w:val="1"/>
      <w:marLeft w:val="0"/>
      <w:marRight w:val="0"/>
      <w:marTop w:val="0"/>
      <w:marBottom w:val="0"/>
      <w:divBdr>
        <w:top w:val="none" w:sz="0" w:space="0" w:color="auto"/>
        <w:left w:val="none" w:sz="0" w:space="0" w:color="auto"/>
        <w:bottom w:val="none" w:sz="0" w:space="0" w:color="auto"/>
        <w:right w:val="none" w:sz="0" w:space="0" w:color="auto"/>
      </w:divBdr>
    </w:div>
    <w:div w:id="1304389934">
      <w:bodyDiv w:val="1"/>
      <w:marLeft w:val="0"/>
      <w:marRight w:val="0"/>
      <w:marTop w:val="0"/>
      <w:marBottom w:val="0"/>
      <w:divBdr>
        <w:top w:val="none" w:sz="0" w:space="0" w:color="auto"/>
        <w:left w:val="none" w:sz="0" w:space="0" w:color="auto"/>
        <w:bottom w:val="none" w:sz="0" w:space="0" w:color="auto"/>
        <w:right w:val="none" w:sz="0" w:space="0" w:color="auto"/>
      </w:divBdr>
      <w:divsChild>
        <w:div w:id="1660033610">
          <w:marLeft w:val="0"/>
          <w:marRight w:val="0"/>
          <w:marTop w:val="0"/>
          <w:marBottom w:val="0"/>
          <w:divBdr>
            <w:top w:val="none" w:sz="0" w:space="0" w:color="auto"/>
            <w:left w:val="none" w:sz="0" w:space="0" w:color="auto"/>
            <w:bottom w:val="none" w:sz="0" w:space="0" w:color="auto"/>
            <w:right w:val="none" w:sz="0" w:space="0" w:color="auto"/>
          </w:divBdr>
        </w:div>
      </w:divsChild>
    </w:div>
    <w:div w:id="1394890676">
      <w:bodyDiv w:val="1"/>
      <w:marLeft w:val="0"/>
      <w:marRight w:val="0"/>
      <w:marTop w:val="0"/>
      <w:marBottom w:val="0"/>
      <w:divBdr>
        <w:top w:val="none" w:sz="0" w:space="0" w:color="auto"/>
        <w:left w:val="none" w:sz="0" w:space="0" w:color="auto"/>
        <w:bottom w:val="none" w:sz="0" w:space="0" w:color="auto"/>
        <w:right w:val="none" w:sz="0" w:space="0" w:color="auto"/>
      </w:divBdr>
      <w:divsChild>
        <w:div w:id="388457735">
          <w:marLeft w:val="0"/>
          <w:marRight w:val="0"/>
          <w:marTop w:val="0"/>
          <w:marBottom w:val="0"/>
          <w:divBdr>
            <w:top w:val="none" w:sz="0" w:space="0" w:color="auto"/>
            <w:left w:val="none" w:sz="0" w:space="0" w:color="auto"/>
            <w:bottom w:val="none" w:sz="0" w:space="0" w:color="auto"/>
            <w:right w:val="none" w:sz="0" w:space="0" w:color="auto"/>
          </w:divBdr>
        </w:div>
      </w:divsChild>
    </w:div>
    <w:div w:id="1871870230">
      <w:bodyDiv w:val="1"/>
      <w:marLeft w:val="0"/>
      <w:marRight w:val="0"/>
      <w:marTop w:val="0"/>
      <w:marBottom w:val="0"/>
      <w:divBdr>
        <w:top w:val="none" w:sz="0" w:space="0" w:color="auto"/>
        <w:left w:val="none" w:sz="0" w:space="0" w:color="auto"/>
        <w:bottom w:val="none" w:sz="0" w:space="0" w:color="auto"/>
        <w:right w:val="none" w:sz="0" w:space="0" w:color="auto"/>
      </w:divBdr>
      <w:divsChild>
        <w:div w:id="58990580">
          <w:marLeft w:val="0"/>
          <w:marRight w:val="0"/>
          <w:marTop w:val="0"/>
          <w:marBottom w:val="0"/>
          <w:divBdr>
            <w:top w:val="none" w:sz="0" w:space="0" w:color="auto"/>
            <w:left w:val="none" w:sz="0" w:space="0" w:color="auto"/>
            <w:bottom w:val="none" w:sz="0" w:space="0" w:color="auto"/>
            <w:right w:val="none" w:sz="0" w:space="0" w:color="auto"/>
          </w:divBdr>
        </w:div>
      </w:divsChild>
    </w:div>
    <w:div w:id="1987277735">
      <w:bodyDiv w:val="1"/>
      <w:marLeft w:val="0"/>
      <w:marRight w:val="0"/>
      <w:marTop w:val="0"/>
      <w:marBottom w:val="0"/>
      <w:divBdr>
        <w:top w:val="none" w:sz="0" w:space="0" w:color="auto"/>
        <w:left w:val="none" w:sz="0" w:space="0" w:color="auto"/>
        <w:bottom w:val="none" w:sz="0" w:space="0" w:color="auto"/>
        <w:right w:val="none" w:sz="0" w:space="0" w:color="auto"/>
      </w:divBdr>
      <w:divsChild>
        <w:div w:id="1830249055">
          <w:marLeft w:val="0"/>
          <w:marRight w:val="0"/>
          <w:marTop w:val="0"/>
          <w:marBottom w:val="0"/>
          <w:divBdr>
            <w:top w:val="none" w:sz="0" w:space="0" w:color="auto"/>
            <w:left w:val="none" w:sz="0" w:space="0" w:color="auto"/>
            <w:bottom w:val="none" w:sz="0" w:space="0" w:color="auto"/>
            <w:right w:val="none" w:sz="0" w:space="0" w:color="auto"/>
          </w:divBdr>
        </w:div>
      </w:divsChild>
    </w:div>
    <w:div w:id="1989164193">
      <w:bodyDiv w:val="1"/>
      <w:marLeft w:val="0"/>
      <w:marRight w:val="0"/>
      <w:marTop w:val="0"/>
      <w:marBottom w:val="0"/>
      <w:divBdr>
        <w:top w:val="none" w:sz="0" w:space="0" w:color="auto"/>
        <w:left w:val="none" w:sz="0" w:space="0" w:color="auto"/>
        <w:bottom w:val="none" w:sz="0" w:space="0" w:color="auto"/>
        <w:right w:val="none" w:sz="0" w:space="0" w:color="auto"/>
      </w:divBdr>
      <w:divsChild>
        <w:div w:id="354700431">
          <w:marLeft w:val="0"/>
          <w:marRight w:val="0"/>
          <w:marTop w:val="0"/>
          <w:marBottom w:val="0"/>
          <w:divBdr>
            <w:top w:val="none" w:sz="0" w:space="0" w:color="auto"/>
            <w:left w:val="none" w:sz="0" w:space="0" w:color="auto"/>
            <w:bottom w:val="none" w:sz="0" w:space="0" w:color="auto"/>
            <w:right w:val="none" w:sz="0" w:space="0" w:color="auto"/>
          </w:divBdr>
        </w:div>
      </w:divsChild>
    </w:div>
    <w:div w:id="2042392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3</Pages>
  <Words>510</Words>
  <Characters>2911</Characters>
  <Application>Microsoft Office Word</Application>
  <DocSecurity>0</DocSecurity>
  <Lines>24</Lines>
  <Paragraphs>6</Paragraphs>
  <ScaleCrop>false</ScaleCrop>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timothy.williams8-W0740252</dc:creator>
  <cp:keywords/>
  <dc:description/>
  <cp:lastModifiedBy>Timothy Williams</cp:lastModifiedBy>
  <cp:revision>11</cp:revision>
  <dcterms:created xsi:type="dcterms:W3CDTF">2025-04-12T21:02:00Z</dcterms:created>
  <dcterms:modified xsi:type="dcterms:W3CDTF">2025-04-13T20:07:00Z</dcterms:modified>
</cp:coreProperties>
</file>