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4BC1" w14:textId="7A927558" w:rsidR="00C30935" w:rsidRPr="00074A8F" w:rsidRDefault="000D202D" w:rsidP="00BA1D25">
      <w:pPr>
        <w:jc w:val="center"/>
        <w:rPr>
          <w:rFonts w:ascii="Times New Roman" w:hAnsi="Times New Roman"/>
          <w:b/>
          <w:bCs/>
          <w:sz w:val="24"/>
          <w:szCs w:val="24"/>
        </w:rPr>
      </w:pPr>
      <w:r w:rsidRPr="000D202D">
        <w:rPr>
          <w:rFonts w:ascii="Times New Roman" w:hAnsi="Times New Roman"/>
          <w:b/>
          <w:bCs/>
          <w:sz w:val="30"/>
          <w:szCs w:val="30"/>
        </w:rPr>
        <w:t>Geospatial and cluster analysis of the best places for Data Science graduates to live in England and Wales</w:t>
      </w:r>
    </w:p>
    <w:p w14:paraId="473B697A" w14:textId="299617AB" w:rsidR="001E2C35" w:rsidRPr="00074A8F" w:rsidRDefault="001E2C35" w:rsidP="00BA1D25">
      <w:pPr>
        <w:pStyle w:val="Heading1"/>
        <w:numPr>
          <w:ilvl w:val="0"/>
          <w:numId w:val="12"/>
        </w:numPr>
        <w:rPr>
          <w:rFonts w:ascii="Times New Roman" w:hAnsi="Times New Roman" w:cs="Times New Roman"/>
          <w:b/>
          <w:bCs/>
          <w:sz w:val="24"/>
          <w:szCs w:val="24"/>
        </w:rPr>
      </w:pPr>
      <w:r w:rsidRPr="00074A8F">
        <w:rPr>
          <w:rFonts w:ascii="Times New Roman" w:hAnsi="Times New Roman" w:cs="Times New Roman"/>
          <w:b/>
          <w:bCs/>
          <w:sz w:val="24"/>
          <w:szCs w:val="24"/>
        </w:rPr>
        <w:t>Abstract</w:t>
      </w:r>
    </w:p>
    <w:p w14:paraId="0C8C6D53" w14:textId="568B7A07" w:rsidR="007D065F" w:rsidRDefault="007D065F" w:rsidP="00BA1D25">
      <w:pPr>
        <w:rPr>
          <w:rFonts w:ascii="Times New Roman" w:hAnsi="Times New Roman"/>
        </w:rPr>
      </w:pPr>
      <w:r w:rsidRPr="007C23A2">
        <w:rPr>
          <w:rFonts w:ascii="Times New Roman" w:hAnsi="Times New Roman"/>
        </w:rPr>
        <w:t xml:space="preserve">MSc Data Science students will be leaving the University of Bristol in every September, so they must decide where to go and prepare for that in teaching block 3. This </w:t>
      </w:r>
      <w:r w:rsidR="006E11FC" w:rsidRPr="007C23A2">
        <w:rPr>
          <w:rFonts w:ascii="Times New Roman" w:hAnsi="Times New Roman"/>
        </w:rPr>
        <w:t xml:space="preserve">data visualization </w:t>
      </w:r>
      <w:r w:rsidRPr="007C23A2">
        <w:rPr>
          <w:rFonts w:ascii="Times New Roman" w:hAnsi="Times New Roman"/>
        </w:rPr>
        <w:t>coursework aims to guide the users, which are MSc Data Science students, to select better areas to live in terms of residents’ age and job opportunities.</w:t>
      </w:r>
      <w:r w:rsidR="006E11FC" w:rsidRPr="007C23A2">
        <w:rPr>
          <w:rFonts w:ascii="Times New Roman" w:hAnsi="Times New Roman"/>
        </w:rPr>
        <w:t xml:space="preserve"> To accomplish the aim, three goals should </w:t>
      </w:r>
      <w:r w:rsidR="006E11FC">
        <w:rPr>
          <w:rFonts w:ascii="Times New Roman" w:hAnsi="Times New Roman"/>
        </w:rPr>
        <w:t xml:space="preserve">be achieved from the data visualizations. Firstly, </w:t>
      </w:r>
      <w:r w:rsidR="007C23A2">
        <w:rPr>
          <w:rFonts w:ascii="Times New Roman" w:hAnsi="Times New Roman"/>
        </w:rPr>
        <w:t xml:space="preserve">“Overview” dashboards were created, to provide an </w:t>
      </w:r>
      <w:r w:rsidR="007C23A2" w:rsidRPr="007C23A2">
        <w:rPr>
          <w:rFonts w:ascii="Times New Roman" w:hAnsi="Times New Roman"/>
        </w:rPr>
        <w:t xml:space="preserve">overview of </w:t>
      </w:r>
      <w:r w:rsidR="007C23A2">
        <w:rPr>
          <w:rFonts w:ascii="Times New Roman" w:hAnsi="Times New Roman"/>
        </w:rPr>
        <w:t>geographic distribution of areas that perform better in the relevant qualities that users require. Secondly, dimensionality reduction and clustering were conducted, and the results were visualized to help users to identify areas that perform well in most of the relevant qualities. Lastly, with the help of target cluster that select</w:t>
      </w:r>
      <w:r w:rsidR="00074A8F">
        <w:rPr>
          <w:rFonts w:ascii="Times New Roman" w:hAnsi="Times New Roman"/>
        </w:rPr>
        <w:t>s</w:t>
      </w:r>
      <w:r w:rsidR="007C23A2">
        <w:rPr>
          <w:rFonts w:ascii="Times New Roman" w:hAnsi="Times New Roman"/>
        </w:rPr>
        <w:t xml:space="preserve"> better areas for users to live in, users can identify the best area that suits their personal needs to live in. The result showed that London and its surrounding areas were the best area for users, while high </w:t>
      </w:r>
      <w:r w:rsidR="00B00B7F">
        <w:rPr>
          <w:rFonts w:ascii="Times New Roman" w:hAnsi="Times New Roman"/>
        </w:rPr>
        <w:t>proportion of</w:t>
      </w:r>
      <w:r w:rsidR="007C23A2">
        <w:rPr>
          <w:rFonts w:ascii="Times New Roman" w:hAnsi="Times New Roman"/>
        </w:rPr>
        <w:t xml:space="preserve"> population with similar age and </w:t>
      </w:r>
      <w:r w:rsidR="00B00B7F">
        <w:rPr>
          <w:rFonts w:ascii="Times New Roman" w:hAnsi="Times New Roman"/>
        </w:rPr>
        <w:t>low unemployment rate should not be overly pursued.</w:t>
      </w:r>
    </w:p>
    <w:p w14:paraId="3A8EEDF0" w14:textId="77777777" w:rsidR="004900DD" w:rsidRPr="007D065F" w:rsidRDefault="004900DD" w:rsidP="00BA1D25"/>
    <w:p w14:paraId="64D5BE09" w14:textId="66402E41" w:rsidR="00C30935" w:rsidRPr="00074A8F" w:rsidRDefault="00C30935" w:rsidP="00BA1D25">
      <w:pPr>
        <w:pStyle w:val="Heading1"/>
        <w:numPr>
          <w:ilvl w:val="0"/>
          <w:numId w:val="12"/>
        </w:numPr>
        <w:rPr>
          <w:rFonts w:ascii="Times New Roman" w:hAnsi="Times New Roman" w:cs="Times New Roman"/>
          <w:b/>
          <w:bCs/>
          <w:sz w:val="24"/>
          <w:szCs w:val="24"/>
        </w:rPr>
      </w:pPr>
      <w:r w:rsidRPr="00074A8F">
        <w:rPr>
          <w:rFonts w:ascii="Times New Roman" w:hAnsi="Times New Roman" w:cs="Times New Roman"/>
          <w:b/>
          <w:bCs/>
          <w:sz w:val="24"/>
          <w:szCs w:val="24"/>
        </w:rPr>
        <w:t>Introduction</w:t>
      </w:r>
    </w:p>
    <w:p w14:paraId="45813EB0" w14:textId="71132DEE" w:rsidR="002572EA" w:rsidRDefault="002572EA" w:rsidP="00BA1D25">
      <w:pPr>
        <w:rPr>
          <w:rFonts w:ascii="Times New Roman" w:hAnsi="Times New Roman"/>
        </w:rPr>
      </w:pPr>
      <w:r w:rsidRPr="002572EA">
        <w:rPr>
          <w:rFonts w:ascii="Times New Roman" w:hAnsi="Times New Roman"/>
        </w:rPr>
        <w:t xml:space="preserve">The MSc Data Science programme will be completed in </w:t>
      </w:r>
      <w:r w:rsidR="000250E0">
        <w:rPr>
          <w:rFonts w:ascii="Times New Roman" w:hAnsi="Times New Roman"/>
        </w:rPr>
        <w:t xml:space="preserve">every </w:t>
      </w:r>
      <w:r w:rsidRPr="002572EA">
        <w:rPr>
          <w:rFonts w:ascii="Times New Roman" w:hAnsi="Times New Roman"/>
        </w:rPr>
        <w:t>Sep</w:t>
      </w:r>
      <w:r w:rsidR="000250E0">
        <w:rPr>
          <w:rFonts w:ascii="Times New Roman" w:hAnsi="Times New Roman"/>
        </w:rPr>
        <w:t>tember</w:t>
      </w:r>
      <w:r w:rsidRPr="002572EA">
        <w:rPr>
          <w:rFonts w:ascii="Times New Roman" w:hAnsi="Times New Roman"/>
        </w:rPr>
        <w:t xml:space="preserve">. </w:t>
      </w:r>
      <w:r>
        <w:rPr>
          <w:rFonts w:ascii="Times New Roman" w:hAnsi="Times New Roman"/>
        </w:rPr>
        <w:t>Where to live and work is the decision of many students have to make in teaching block 3.</w:t>
      </w:r>
      <w:r w:rsidRPr="002572EA">
        <w:rPr>
          <w:rFonts w:ascii="Times New Roman" w:hAnsi="Times New Roman"/>
        </w:rPr>
        <w:t xml:space="preserve"> Therefore,</w:t>
      </w:r>
      <w:r>
        <w:rPr>
          <w:rFonts w:ascii="Times New Roman" w:hAnsi="Times New Roman"/>
        </w:rPr>
        <w:t xml:space="preserve"> this</w:t>
      </w:r>
      <w:r w:rsidRPr="002572EA">
        <w:rPr>
          <w:rFonts w:ascii="Times New Roman" w:hAnsi="Times New Roman"/>
        </w:rPr>
        <w:t xml:space="preserve"> </w:t>
      </w:r>
      <w:r w:rsidRPr="00C30935">
        <w:rPr>
          <w:rFonts w:ascii="Times New Roman" w:hAnsi="Times New Roman"/>
        </w:rPr>
        <w:t>visual analytics project</w:t>
      </w:r>
      <w:r>
        <w:rPr>
          <w:rFonts w:ascii="Times New Roman" w:hAnsi="Times New Roman"/>
        </w:rPr>
        <w:t xml:space="preserve"> aims </w:t>
      </w:r>
      <w:r w:rsidR="00013CBB">
        <w:rPr>
          <w:rFonts w:ascii="Times New Roman" w:hAnsi="Times New Roman"/>
        </w:rPr>
        <w:t>to provide</w:t>
      </w:r>
      <w:r>
        <w:rPr>
          <w:rFonts w:ascii="Times New Roman" w:hAnsi="Times New Roman"/>
        </w:rPr>
        <w:t xml:space="preserve"> necessary and relevant information</w:t>
      </w:r>
      <w:r w:rsidR="00013CBB">
        <w:rPr>
          <w:rFonts w:ascii="Times New Roman" w:hAnsi="Times New Roman"/>
        </w:rPr>
        <w:t xml:space="preserve"> for the users (MSc Data Science students)</w:t>
      </w:r>
      <w:r>
        <w:rPr>
          <w:rFonts w:ascii="Times New Roman" w:hAnsi="Times New Roman"/>
        </w:rPr>
        <w:t xml:space="preserve"> </w:t>
      </w:r>
      <w:r w:rsidR="00013CBB">
        <w:rPr>
          <w:rFonts w:ascii="Times New Roman" w:hAnsi="Times New Roman"/>
        </w:rPr>
        <w:t>for</w:t>
      </w:r>
      <w:r>
        <w:rPr>
          <w:rFonts w:ascii="Times New Roman" w:hAnsi="Times New Roman"/>
        </w:rPr>
        <w:t xml:space="preserve"> the decision process. Three </w:t>
      </w:r>
      <w:r w:rsidR="00000834">
        <w:rPr>
          <w:rFonts w:ascii="Times New Roman" w:hAnsi="Times New Roman"/>
        </w:rPr>
        <w:t>goals</w:t>
      </w:r>
      <w:r>
        <w:rPr>
          <w:rFonts w:ascii="Times New Roman" w:hAnsi="Times New Roman"/>
        </w:rPr>
        <w:t xml:space="preserve"> would be achieved from the </w:t>
      </w:r>
      <w:r w:rsidR="00013CBB">
        <w:rPr>
          <w:rFonts w:ascii="Times New Roman" w:hAnsi="Times New Roman"/>
        </w:rPr>
        <w:t xml:space="preserve">data </w:t>
      </w:r>
      <w:r>
        <w:rPr>
          <w:rFonts w:ascii="Times New Roman" w:hAnsi="Times New Roman"/>
        </w:rPr>
        <w:t>visualization</w:t>
      </w:r>
      <w:r w:rsidR="00681D24">
        <w:rPr>
          <w:rFonts w:ascii="Times New Roman" w:hAnsi="Times New Roman"/>
        </w:rPr>
        <w:t>s</w:t>
      </w:r>
      <w:r>
        <w:rPr>
          <w:rFonts w:ascii="Times New Roman" w:hAnsi="Times New Roman"/>
        </w:rPr>
        <w:t>:</w:t>
      </w:r>
    </w:p>
    <w:p w14:paraId="46C58A2F" w14:textId="3C45D680" w:rsidR="002572EA" w:rsidRDefault="00000834" w:rsidP="00BA1D25">
      <w:pPr>
        <w:pStyle w:val="ListParagraph"/>
        <w:numPr>
          <w:ilvl w:val="0"/>
          <w:numId w:val="21"/>
        </w:numPr>
        <w:rPr>
          <w:rFonts w:ascii="Times New Roman" w:hAnsi="Times New Roman"/>
        </w:rPr>
      </w:pPr>
      <w:r>
        <w:rPr>
          <w:rFonts w:ascii="Times New Roman" w:hAnsi="Times New Roman"/>
        </w:rPr>
        <w:t>Provid</w:t>
      </w:r>
      <w:r w:rsidR="00703DC5">
        <w:rPr>
          <w:rFonts w:ascii="Times New Roman" w:hAnsi="Times New Roman"/>
        </w:rPr>
        <w:t>e</w:t>
      </w:r>
      <w:r w:rsidR="00A275AD">
        <w:rPr>
          <w:rFonts w:ascii="Times New Roman" w:hAnsi="Times New Roman"/>
        </w:rPr>
        <w:t xml:space="preserve"> </w:t>
      </w:r>
      <w:r>
        <w:rPr>
          <w:rFonts w:ascii="Times New Roman" w:hAnsi="Times New Roman"/>
        </w:rPr>
        <w:t>an overview of the distribution of the qualities that users (MSc Data Science students) may considered by local authorities.</w:t>
      </w:r>
      <w:r w:rsidR="00A275AD">
        <w:rPr>
          <w:rFonts w:ascii="Times New Roman" w:hAnsi="Times New Roman"/>
        </w:rPr>
        <w:t xml:space="preserve"> </w:t>
      </w:r>
    </w:p>
    <w:p w14:paraId="34BB5D20" w14:textId="0694E036" w:rsidR="00000834" w:rsidRDefault="00703DC5" w:rsidP="00BA1D25">
      <w:pPr>
        <w:pStyle w:val="ListParagraph"/>
        <w:numPr>
          <w:ilvl w:val="0"/>
          <w:numId w:val="21"/>
        </w:numPr>
        <w:rPr>
          <w:rFonts w:ascii="Times New Roman" w:hAnsi="Times New Roman"/>
        </w:rPr>
      </w:pPr>
      <w:r>
        <w:rPr>
          <w:rFonts w:ascii="Times New Roman" w:hAnsi="Times New Roman"/>
        </w:rPr>
        <w:t xml:space="preserve">Use dimensionality reductions and clustering methods to categorize the local authorities into clusters based on the related qualities, for </w:t>
      </w:r>
      <w:r w:rsidR="0070323B">
        <w:rPr>
          <w:rFonts w:ascii="Times New Roman" w:hAnsi="Times New Roman"/>
        </w:rPr>
        <w:t>users to understand the correlations between qualities and characteristics of each cluster. This could help them to select</w:t>
      </w:r>
      <w:r>
        <w:rPr>
          <w:rFonts w:ascii="Times New Roman" w:hAnsi="Times New Roman"/>
        </w:rPr>
        <w:t xml:space="preserve"> the target cluster.</w:t>
      </w:r>
    </w:p>
    <w:p w14:paraId="283C3A24" w14:textId="45A36A4F" w:rsidR="00703DC5" w:rsidRPr="002572EA" w:rsidRDefault="00703DC5" w:rsidP="00BA1D25">
      <w:pPr>
        <w:pStyle w:val="ListParagraph"/>
        <w:numPr>
          <w:ilvl w:val="0"/>
          <w:numId w:val="21"/>
        </w:numPr>
        <w:rPr>
          <w:rFonts w:ascii="Times New Roman" w:hAnsi="Times New Roman"/>
        </w:rPr>
      </w:pPr>
      <w:r>
        <w:rPr>
          <w:rFonts w:ascii="Times New Roman" w:hAnsi="Times New Roman"/>
        </w:rPr>
        <w:t xml:space="preserve">Select the best local authorities that perform better in most of the </w:t>
      </w:r>
      <w:r w:rsidR="00013CBB">
        <w:rPr>
          <w:rFonts w:ascii="Times New Roman" w:hAnsi="Times New Roman"/>
        </w:rPr>
        <w:t xml:space="preserve">related </w:t>
      </w:r>
      <w:r>
        <w:rPr>
          <w:rFonts w:ascii="Times New Roman" w:hAnsi="Times New Roman"/>
        </w:rPr>
        <w:t>qualities</w:t>
      </w:r>
      <w:r w:rsidR="00013CBB">
        <w:rPr>
          <w:rFonts w:ascii="Times New Roman" w:hAnsi="Times New Roman"/>
        </w:rPr>
        <w:t>.</w:t>
      </w:r>
    </w:p>
    <w:p w14:paraId="75A9E5A7" w14:textId="4B586907" w:rsidR="002572EA" w:rsidRDefault="00013CBB" w:rsidP="00BA1D25">
      <w:pPr>
        <w:rPr>
          <w:rFonts w:ascii="Times New Roman" w:hAnsi="Times New Roman"/>
        </w:rPr>
      </w:pPr>
      <w:r>
        <w:rPr>
          <w:rFonts w:ascii="Times New Roman" w:hAnsi="Times New Roman"/>
        </w:rPr>
        <w:t>The target users of this data visualization</w:t>
      </w:r>
      <w:r w:rsidR="00681D24">
        <w:rPr>
          <w:rFonts w:ascii="Times New Roman" w:hAnsi="Times New Roman"/>
        </w:rPr>
        <w:t xml:space="preserve"> work</w:t>
      </w:r>
      <w:r>
        <w:rPr>
          <w:rFonts w:ascii="Times New Roman" w:hAnsi="Times New Roman"/>
        </w:rPr>
        <w:t xml:space="preserve"> are </w:t>
      </w:r>
      <w:r w:rsidRPr="00013CBB">
        <w:rPr>
          <w:rFonts w:ascii="Times New Roman" w:hAnsi="Times New Roman"/>
        </w:rPr>
        <w:t>MSc Data Science students</w:t>
      </w:r>
      <w:r w:rsidR="000250E0">
        <w:rPr>
          <w:rFonts w:ascii="Times New Roman" w:hAnsi="Times New Roman"/>
        </w:rPr>
        <w:t>. T</w:t>
      </w:r>
      <w:r>
        <w:rPr>
          <w:rFonts w:ascii="Times New Roman" w:hAnsi="Times New Roman"/>
        </w:rPr>
        <w:t xml:space="preserve">hey would desire a community with more residents at similar age rage (20s-30s) and </w:t>
      </w:r>
      <w:r w:rsidR="000250E0">
        <w:rPr>
          <w:rFonts w:ascii="Times New Roman" w:hAnsi="Times New Roman"/>
        </w:rPr>
        <w:t xml:space="preserve">plenty of data science related job opportunities. As a result, relevant 2021 census </w:t>
      </w:r>
      <w:r w:rsidR="000250E0" w:rsidRPr="000250E0">
        <w:rPr>
          <w:rFonts w:ascii="Times New Roman" w:hAnsi="Times New Roman"/>
        </w:rPr>
        <w:t xml:space="preserve">in England and Wales </w:t>
      </w:r>
      <w:r w:rsidR="000250E0">
        <w:rPr>
          <w:rFonts w:ascii="Times New Roman" w:hAnsi="Times New Roman"/>
        </w:rPr>
        <w:t xml:space="preserve">data </w:t>
      </w:r>
      <w:r w:rsidR="00681D24">
        <w:rPr>
          <w:rFonts w:ascii="Times New Roman" w:hAnsi="Times New Roman"/>
        </w:rPr>
        <w:t>was</w:t>
      </w:r>
      <w:r w:rsidR="000250E0">
        <w:rPr>
          <w:rFonts w:ascii="Times New Roman" w:hAnsi="Times New Roman"/>
        </w:rPr>
        <w:t xml:space="preserve"> used to provide up-to-date and useful information for the goals.</w:t>
      </w:r>
    </w:p>
    <w:p w14:paraId="0AE47888" w14:textId="77777777" w:rsidR="004900DD" w:rsidRPr="002572EA" w:rsidRDefault="004900DD" w:rsidP="00BA1D25">
      <w:pPr>
        <w:rPr>
          <w:rFonts w:ascii="Times New Roman" w:hAnsi="Times New Roman"/>
        </w:rPr>
      </w:pPr>
    </w:p>
    <w:p w14:paraId="4FD45345" w14:textId="794651CD" w:rsidR="00C30935" w:rsidRPr="00074A8F" w:rsidRDefault="00C30935" w:rsidP="00BA1D25">
      <w:pPr>
        <w:pStyle w:val="Heading1"/>
        <w:numPr>
          <w:ilvl w:val="0"/>
          <w:numId w:val="12"/>
        </w:numPr>
        <w:rPr>
          <w:rFonts w:ascii="Times New Roman" w:hAnsi="Times New Roman" w:cs="Times New Roman"/>
          <w:b/>
          <w:bCs/>
          <w:sz w:val="24"/>
          <w:szCs w:val="24"/>
        </w:rPr>
      </w:pPr>
      <w:r w:rsidRPr="00074A8F">
        <w:rPr>
          <w:rFonts w:ascii="Times New Roman" w:hAnsi="Times New Roman" w:cs="Times New Roman"/>
          <w:b/>
          <w:bCs/>
          <w:sz w:val="24"/>
          <w:szCs w:val="24"/>
        </w:rPr>
        <w:t>Data Preparation and Abstractio</w:t>
      </w:r>
      <w:r w:rsidR="00BF2466" w:rsidRPr="00074A8F">
        <w:rPr>
          <w:rFonts w:ascii="Times New Roman" w:hAnsi="Times New Roman" w:cs="Times New Roman"/>
          <w:b/>
          <w:bCs/>
          <w:sz w:val="24"/>
          <w:szCs w:val="24"/>
        </w:rPr>
        <w:t>n</w:t>
      </w:r>
    </w:p>
    <w:p w14:paraId="3BB4FC94" w14:textId="6B6782E6" w:rsidR="00AB15F2" w:rsidRPr="00074A8F" w:rsidRDefault="00074A8F" w:rsidP="00BA1D25">
      <w:pPr>
        <w:rPr>
          <w:rFonts w:ascii="Times New Roman" w:hAnsi="Times New Roman"/>
          <w:b/>
          <w:bCs/>
        </w:rPr>
      </w:pPr>
      <w:r>
        <w:rPr>
          <w:rFonts w:ascii="Times New Roman" w:hAnsi="Times New Roman"/>
          <w:b/>
          <w:bCs/>
        </w:rPr>
        <w:t>3.1</w:t>
      </w:r>
      <w:r>
        <w:rPr>
          <w:rFonts w:ascii="Times New Roman" w:hAnsi="Times New Roman"/>
          <w:b/>
          <w:bCs/>
        </w:rPr>
        <w:tab/>
      </w:r>
      <w:r w:rsidR="00AB15F2" w:rsidRPr="00074A8F">
        <w:rPr>
          <w:rFonts w:ascii="Times New Roman" w:hAnsi="Times New Roman"/>
          <w:b/>
          <w:bCs/>
        </w:rPr>
        <w:t>Relevant tables</w:t>
      </w:r>
    </w:p>
    <w:p w14:paraId="32D90859" w14:textId="15A8BABB" w:rsidR="000250E0" w:rsidRDefault="00F54B86" w:rsidP="00BA1D25">
      <w:pPr>
        <w:rPr>
          <w:rFonts w:ascii="Times New Roman" w:hAnsi="Times New Roman"/>
        </w:rPr>
      </w:pPr>
      <w:r>
        <w:rPr>
          <w:rFonts w:ascii="Times New Roman" w:hAnsi="Times New Roman"/>
        </w:rPr>
        <w:t xml:space="preserve">Since </w:t>
      </w:r>
      <w:r w:rsidR="00074A8F">
        <w:rPr>
          <w:rFonts w:ascii="Times New Roman" w:hAnsi="Times New Roman"/>
        </w:rPr>
        <w:t xml:space="preserve">the </w:t>
      </w:r>
      <w:r>
        <w:rPr>
          <w:rFonts w:ascii="Times New Roman" w:hAnsi="Times New Roman"/>
        </w:rPr>
        <w:t xml:space="preserve">information provided by 2011 census was </w:t>
      </w:r>
      <w:r w:rsidR="00681D24">
        <w:rPr>
          <w:rFonts w:ascii="Times New Roman" w:hAnsi="Times New Roman"/>
        </w:rPr>
        <w:t xml:space="preserve">obsolete and this data visualization work values actual usability, 2021 census </w:t>
      </w:r>
      <w:r w:rsidR="00E250EF" w:rsidRPr="000250E0">
        <w:rPr>
          <w:rFonts w:ascii="Times New Roman" w:hAnsi="Times New Roman"/>
        </w:rPr>
        <w:t xml:space="preserve">in England and Wales </w:t>
      </w:r>
      <w:r w:rsidR="00681D24">
        <w:rPr>
          <w:rFonts w:ascii="Times New Roman" w:hAnsi="Times New Roman"/>
        </w:rPr>
        <w:t xml:space="preserve">data was used. The following tables </w:t>
      </w:r>
      <w:r w:rsidR="00E250EF">
        <w:rPr>
          <w:rFonts w:ascii="Times New Roman" w:hAnsi="Times New Roman"/>
        </w:rPr>
        <w:t xml:space="preserve">from 2021 census </w:t>
      </w:r>
      <w:r w:rsidR="00681D24">
        <w:rPr>
          <w:rFonts w:ascii="Times New Roman" w:hAnsi="Times New Roman"/>
        </w:rPr>
        <w:t>were selected for the residents age and job opportunities requirements of  MSc Data Science students.</w:t>
      </w:r>
    </w:p>
    <w:p w14:paraId="36797ECE" w14:textId="385B59CF" w:rsidR="008857BE" w:rsidRDefault="00E250EF" w:rsidP="00BA1D25">
      <w:pPr>
        <w:pStyle w:val="ListParagraph"/>
        <w:numPr>
          <w:ilvl w:val="0"/>
          <w:numId w:val="21"/>
        </w:numPr>
        <w:rPr>
          <w:rFonts w:ascii="Times New Roman" w:hAnsi="Times New Roman"/>
        </w:rPr>
      </w:pPr>
      <w:r w:rsidRPr="00E250EF">
        <w:rPr>
          <w:rFonts w:ascii="Times New Roman" w:hAnsi="Times New Roman"/>
        </w:rPr>
        <w:t>TS007 - Age by single year</w:t>
      </w:r>
    </w:p>
    <w:p w14:paraId="19AD9CD7" w14:textId="7E1A454F" w:rsidR="00681D24" w:rsidRPr="008857BE" w:rsidRDefault="00E250EF" w:rsidP="00BA1D25">
      <w:pPr>
        <w:ind w:left="720"/>
        <w:rPr>
          <w:rFonts w:ascii="Times New Roman" w:hAnsi="Times New Roman"/>
        </w:rPr>
      </w:pPr>
      <w:r w:rsidRPr="008857BE">
        <w:rPr>
          <w:rFonts w:ascii="Times New Roman" w:hAnsi="Times New Roman"/>
        </w:rPr>
        <w:t xml:space="preserve">The variable </w:t>
      </w:r>
      <w:r w:rsidR="001731A3">
        <w:rPr>
          <w:rFonts w:ascii="Times New Roman" w:hAnsi="Times New Roman"/>
        </w:rPr>
        <w:t>‘</w:t>
      </w:r>
      <w:r w:rsidRPr="008857BE">
        <w:rPr>
          <w:rFonts w:ascii="Times New Roman" w:hAnsi="Times New Roman"/>
        </w:rPr>
        <w:t>Aged 25 to 34 years (%)</w:t>
      </w:r>
      <w:r w:rsidR="001731A3">
        <w:rPr>
          <w:rFonts w:ascii="Times New Roman" w:hAnsi="Times New Roman"/>
        </w:rPr>
        <w:t>’</w:t>
      </w:r>
      <w:r w:rsidRPr="008857BE">
        <w:rPr>
          <w:rFonts w:ascii="Times New Roman" w:hAnsi="Times New Roman"/>
        </w:rPr>
        <w:t xml:space="preserve"> from this table is the relevant quality as it shows the </w:t>
      </w:r>
      <w:r w:rsidR="00591C0D" w:rsidRPr="008857BE">
        <w:rPr>
          <w:rFonts w:ascii="Times New Roman" w:hAnsi="Times New Roman"/>
        </w:rPr>
        <w:t>proportion of</w:t>
      </w:r>
      <w:r w:rsidR="00EB06C1">
        <w:rPr>
          <w:rFonts w:ascii="Times New Roman" w:hAnsi="Times New Roman"/>
        </w:rPr>
        <w:t xml:space="preserve"> usual</w:t>
      </w:r>
      <w:r w:rsidR="00591C0D" w:rsidRPr="008857BE">
        <w:rPr>
          <w:rFonts w:ascii="Times New Roman" w:hAnsi="Times New Roman"/>
        </w:rPr>
        <w:t xml:space="preserve"> resident</w:t>
      </w:r>
      <w:r w:rsidR="001731A3">
        <w:rPr>
          <w:rFonts w:ascii="Times New Roman" w:hAnsi="Times New Roman"/>
        </w:rPr>
        <w:t>s</w:t>
      </w:r>
      <w:r w:rsidR="00591C0D" w:rsidRPr="008857BE">
        <w:rPr>
          <w:rFonts w:ascii="Times New Roman" w:hAnsi="Times New Roman"/>
        </w:rPr>
        <w:t xml:space="preserve"> in the community similar to users</w:t>
      </w:r>
      <w:r w:rsidR="001731A3">
        <w:rPr>
          <w:rFonts w:ascii="Times New Roman" w:hAnsi="Times New Roman"/>
        </w:rPr>
        <w:t>’</w:t>
      </w:r>
      <w:r w:rsidR="00591C0D" w:rsidRPr="008857BE">
        <w:rPr>
          <w:rFonts w:ascii="Times New Roman" w:hAnsi="Times New Roman"/>
        </w:rPr>
        <w:t xml:space="preserve"> age range.</w:t>
      </w:r>
    </w:p>
    <w:p w14:paraId="3EFD1798" w14:textId="695B242D" w:rsidR="008857BE" w:rsidRDefault="008857BE" w:rsidP="00BA1D25">
      <w:pPr>
        <w:pStyle w:val="ListParagraph"/>
        <w:numPr>
          <w:ilvl w:val="0"/>
          <w:numId w:val="21"/>
        </w:numPr>
        <w:rPr>
          <w:rFonts w:ascii="Times New Roman" w:hAnsi="Times New Roman"/>
        </w:rPr>
      </w:pPr>
      <w:r w:rsidRPr="008857BE">
        <w:rPr>
          <w:rFonts w:ascii="Times New Roman" w:hAnsi="Times New Roman"/>
        </w:rPr>
        <w:t>RM074 - Legal partnership status by sex by age</w:t>
      </w:r>
    </w:p>
    <w:p w14:paraId="7C149912" w14:textId="0E8BC908" w:rsidR="001731A3" w:rsidRDefault="008857BE" w:rsidP="00BA1D25">
      <w:pPr>
        <w:ind w:left="720"/>
        <w:rPr>
          <w:rFonts w:ascii="Times New Roman" w:hAnsi="Times New Roman"/>
        </w:rPr>
      </w:pPr>
      <w:r>
        <w:rPr>
          <w:rFonts w:ascii="Times New Roman" w:hAnsi="Times New Roman"/>
        </w:rPr>
        <w:t xml:space="preserve">The </w:t>
      </w:r>
      <w:r w:rsidR="001731A3">
        <w:rPr>
          <w:rFonts w:ascii="Times New Roman" w:hAnsi="Times New Roman"/>
        </w:rPr>
        <w:t xml:space="preserve">derived </w:t>
      </w:r>
      <w:r>
        <w:rPr>
          <w:rFonts w:ascii="Times New Roman" w:hAnsi="Times New Roman"/>
        </w:rPr>
        <w:t xml:space="preserve">variable </w:t>
      </w:r>
      <w:r w:rsidR="001731A3">
        <w:rPr>
          <w:rFonts w:ascii="Times New Roman" w:hAnsi="Times New Roman"/>
        </w:rPr>
        <w:t>‘</w:t>
      </w:r>
      <w:r w:rsidRPr="008857BE">
        <w:rPr>
          <w:rFonts w:ascii="Times New Roman" w:hAnsi="Times New Roman"/>
        </w:rPr>
        <w:t>Never married: Aged 25 to 34 years (Grand Total%)</w:t>
      </w:r>
      <w:r w:rsidR="001731A3">
        <w:rPr>
          <w:rFonts w:ascii="Times New Roman" w:hAnsi="Times New Roman"/>
        </w:rPr>
        <w:t>’</w:t>
      </w:r>
      <w:r>
        <w:rPr>
          <w:rFonts w:ascii="Times New Roman" w:hAnsi="Times New Roman"/>
        </w:rPr>
        <w:t xml:space="preserve"> </w:t>
      </w:r>
      <w:r w:rsidR="001731A3" w:rsidRPr="008857BE">
        <w:rPr>
          <w:rFonts w:ascii="Times New Roman" w:hAnsi="Times New Roman"/>
        </w:rPr>
        <w:t>is the relevant quality as it shows the proportion of</w:t>
      </w:r>
      <w:r w:rsidR="001731A3">
        <w:rPr>
          <w:rFonts w:ascii="Times New Roman" w:hAnsi="Times New Roman"/>
        </w:rPr>
        <w:t xml:space="preserve"> single</w:t>
      </w:r>
      <w:r w:rsidR="001731A3" w:rsidRPr="008857BE">
        <w:rPr>
          <w:rFonts w:ascii="Times New Roman" w:hAnsi="Times New Roman"/>
        </w:rPr>
        <w:t xml:space="preserve"> resident</w:t>
      </w:r>
      <w:r w:rsidR="001731A3">
        <w:rPr>
          <w:rFonts w:ascii="Times New Roman" w:hAnsi="Times New Roman"/>
        </w:rPr>
        <w:t>s</w:t>
      </w:r>
      <w:r w:rsidR="001731A3" w:rsidRPr="008857BE">
        <w:rPr>
          <w:rFonts w:ascii="Times New Roman" w:hAnsi="Times New Roman"/>
        </w:rPr>
        <w:t xml:space="preserve"> in the community similar to users</w:t>
      </w:r>
      <w:r w:rsidR="001731A3">
        <w:rPr>
          <w:rFonts w:ascii="Times New Roman" w:hAnsi="Times New Roman"/>
        </w:rPr>
        <w:t>’</w:t>
      </w:r>
      <w:r w:rsidR="001731A3" w:rsidRPr="008857BE">
        <w:rPr>
          <w:rFonts w:ascii="Times New Roman" w:hAnsi="Times New Roman"/>
        </w:rPr>
        <w:t xml:space="preserve"> age range.</w:t>
      </w:r>
      <w:r w:rsidR="001731A3">
        <w:rPr>
          <w:rFonts w:ascii="Times New Roman" w:hAnsi="Times New Roman"/>
        </w:rPr>
        <w:t xml:space="preserve"> This variable </w:t>
      </w:r>
      <w:r w:rsidR="00D17F0B">
        <w:rPr>
          <w:rFonts w:ascii="Times New Roman" w:hAnsi="Times New Roman"/>
        </w:rPr>
        <w:t>wa</w:t>
      </w:r>
      <w:r w:rsidR="001731A3">
        <w:rPr>
          <w:rFonts w:ascii="Times New Roman" w:hAnsi="Times New Roman"/>
        </w:rPr>
        <w:t xml:space="preserve">s calculated from dividing </w:t>
      </w:r>
      <w:r w:rsidR="00823C7E">
        <w:rPr>
          <w:rFonts w:ascii="Times New Roman" w:hAnsi="Times New Roman"/>
        </w:rPr>
        <w:t xml:space="preserve">the </w:t>
      </w:r>
      <w:r w:rsidR="005E499C">
        <w:rPr>
          <w:rFonts w:ascii="Times New Roman" w:hAnsi="Times New Roman"/>
        </w:rPr>
        <w:t>‘</w:t>
      </w:r>
      <w:r w:rsidR="00823C7E">
        <w:rPr>
          <w:rFonts w:ascii="Times New Roman" w:hAnsi="Times New Roman"/>
        </w:rPr>
        <w:t>n</w:t>
      </w:r>
      <w:r w:rsidR="001731A3" w:rsidRPr="008857BE">
        <w:rPr>
          <w:rFonts w:ascii="Times New Roman" w:hAnsi="Times New Roman"/>
        </w:rPr>
        <w:t>ever married</w:t>
      </w:r>
      <w:r w:rsidR="005E499C">
        <w:rPr>
          <w:rFonts w:ascii="Times New Roman" w:hAnsi="Times New Roman"/>
        </w:rPr>
        <w:t xml:space="preserve"> </w:t>
      </w:r>
      <w:r w:rsidR="001731A3">
        <w:rPr>
          <w:rFonts w:ascii="Times New Roman" w:hAnsi="Times New Roman"/>
        </w:rPr>
        <w:t>population</w:t>
      </w:r>
      <w:r w:rsidR="005E499C">
        <w:rPr>
          <w:rFonts w:ascii="Times New Roman" w:hAnsi="Times New Roman"/>
        </w:rPr>
        <w:t xml:space="preserve"> aged 25-34 years’</w:t>
      </w:r>
      <w:r w:rsidR="00823C7E">
        <w:rPr>
          <w:rFonts w:ascii="Times New Roman" w:hAnsi="Times New Roman"/>
        </w:rPr>
        <w:t xml:space="preserve"> </w:t>
      </w:r>
      <w:r w:rsidR="001731A3">
        <w:rPr>
          <w:rFonts w:ascii="Times New Roman" w:hAnsi="Times New Roman"/>
        </w:rPr>
        <w:t xml:space="preserve">by </w:t>
      </w:r>
      <w:r w:rsidR="00823C7E">
        <w:rPr>
          <w:rFonts w:ascii="Times New Roman" w:hAnsi="Times New Roman"/>
        </w:rPr>
        <w:t>t</w:t>
      </w:r>
      <w:r w:rsidR="001731A3">
        <w:rPr>
          <w:rFonts w:ascii="Times New Roman" w:hAnsi="Times New Roman"/>
        </w:rPr>
        <w:t>otal</w:t>
      </w:r>
      <w:r w:rsidR="00823C7E">
        <w:rPr>
          <w:rFonts w:ascii="Times New Roman" w:hAnsi="Times New Roman"/>
        </w:rPr>
        <w:t xml:space="preserve"> population</w:t>
      </w:r>
      <w:r w:rsidR="00BE38BA" w:rsidRPr="00BE38BA">
        <w:rPr>
          <w:rFonts w:ascii="Times New Roman" w:hAnsi="Times New Roman"/>
        </w:rPr>
        <w:t xml:space="preserve"> aged 16 years and ove</w:t>
      </w:r>
      <w:r w:rsidR="00BE38BA">
        <w:rPr>
          <w:rFonts w:ascii="Times New Roman" w:hAnsi="Times New Roman"/>
        </w:rPr>
        <w:t>r in that community.</w:t>
      </w:r>
    </w:p>
    <w:p w14:paraId="6363224F" w14:textId="4FF33B24" w:rsidR="00BE38BA" w:rsidRPr="008857BE" w:rsidRDefault="008146DE" w:rsidP="00BA1D25">
      <w:pPr>
        <w:pStyle w:val="ListParagraph"/>
        <w:numPr>
          <w:ilvl w:val="0"/>
          <w:numId w:val="21"/>
        </w:numPr>
        <w:rPr>
          <w:rFonts w:ascii="Times New Roman" w:hAnsi="Times New Roman"/>
        </w:rPr>
      </w:pPr>
      <w:r w:rsidRPr="008146DE">
        <w:rPr>
          <w:rFonts w:ascii="Times New Roman" w:hAnsi="Times New Roman"/>
        </w:rPr>
        <w:lastRenderedPageBreak/>
        <w:t>TS063 - Occupation</w:t>
      </w:r>
    </w:p>
    <w:p w14:paraId="21CDD238" w14:textId="3A3F6836" w:rsidR="008857BE" w:rsidRDefault="008146DE" w:rsidP="00BA1D25">
      <w:pPr>
        <w:ind w:left="720"/>
        <w:rPr>
          <w:rFonts w:ascii="Times New Roman" w:hAnsi="Times New Roman"/>
        </w:rPr>
      </w:pPr>
      <w:r>
        <w:rPr>
          <w:rFonts w:ascii="Times New Roman" w:hAnsi="Times New Roman"/>
        </w:rPr>
        <w:t xml:space="preserve">According to </w:t>
      </w:r>
      <w:r w:rsidRPr="008146DE">
        <w:rPr>
          <w:rFonts w:ascii="Times New Roman" w:hAnsi="Times New Roman"/>
        </w:rPr>
        <w:t xml:space="preserve">the coding </w:t>
      </w:r>
      <w:r>
        <w:rPr>
          <w:rFonts w:ascii="Times New Roman" w:hAnsi="Times New Roman"/>
        </w:rPr>
        <w:t xml:space="preserve">index of </w:t>
      </w:r>
      <w:r w:rsidRPr="008146DE">
        <w:rPr>
          <w:rFonts w:ascii="Times New Roman" w:hAnsi="Times New Roman"/>
        </w:rPr>
        <w:t>Standard Occupational Classification (SOC) 2020</w:t>
      </w:r>
      <w:r w:rsidR="00C61130">
        <w:rPr>
          <w:rFonts w:ascii="Times New Roman" w:hAnsi="Times New Roman"/>
        </w:rPr>
        <w:t xml:space="preserve"> (1)</w:t>
      </w:r>
      <w:r>
        <w:rPr>
          <w:rFonts w:ascii="Times New Roman" w:hAnsi="Times New Roman"/>
        </w:rPr>
        <w:t>, which was used in census 2021, position titles ‘Data Engineer’ and ‘Data Scientists’ were mostly classified as ‘</w:t>
      </w:r>
      <w:r w:rsidRPr="008146DE">
        <w:rPr>
          <w:rFonts w:ascii="Times New Roman" w:hAnsi="Times New Roman"/>
        </w:rPr>
        <w:t>Professional occupations</w:t>
      </w:r>
      <w:r>
        <w:rPr>
          <w:rFonts w:ascii="Times New Roman" w:hAnsi="Times New Roman"/>
        </w:rPr>
        <w:t xml:space="preserve">’, so </w:t>
      </w:r>
      <w:r w:rsidR="00EB06C1">
        <w:rPr>
          <w:rFonts w:ascii="Times New Roman" w:hAnsi="Times New Roman"/>
        </w:rPr>
        <w:t>the variable ‘</w:t>
      </w:r>
      <w:r w:rsidR="00EB06C1" w:rsidRPr="00EB06C1">
        <w:rPr>
          <w:rFonts w:ascii="Times New Roman" w:hAnsi="Times New Roman"/>
        </w:rPr>
        <w:t>2. Professional occupations (%)</w:t>
      </w:r>
      <w:r w:rsidR="00EB06C1">
        <w:rPr>
          <w:rFonts w:ascii="Times New Roman" w:hAnsi="Times New Roman"/>
        </w:rPr>
        <w:t xml:space="preserve">’ which shows </w:t>
      </w:r>
      <w:r w:rsidR="00EB06C1" w:rsidRPr="00EB06C1">
        <w:rPr>
          <w:rFonts w:ascii="Times New Roman" w:hAnsi="Times New Roman"/>
        </w:rPr>
        <w:t>the proportion of</w:t>
      </w:r>
      <w:r w:rsidR="00EB06C1">
        <w:rPr>
          <w:rFonts w:ascii="Times New Roman" w:hAnsi="Times New Roman" w:hint="eastAsia"/>
        </w:rPr>
        <w:t xml:space="preserve"> </w:t>
      </w:r>
      <w:r w:rsidR="00EB06C1">
        <w:rPr>
          <w:rFonts w:ascii="Times New Roman" w:hAnsi="Times New Roman"/>
        </w:rPr>
        <w:t>‘p</w:t>
      </w:r>
      <w:r w:rsidR="00EB06C1" w:rsidRPr="00EB06C1">
        <w:rPr>
          <w:rFonts w:ascii="Times New Roman" w:hAnsi="Times New Roman"/>
        </w:rPr>
        <w:t>rofessional occupations</w:t>
      </w:r>
      <w:r w:rsidR="00EB06C1">
        <w:rPr>
          <w:rFonts w:ascii="Times New Roman" w:hAnsi="Times New Roman"/>
        </w:rPr>
        <w:t xml:space="preserve">’ can reflect the relevant job opportunities </w:t>
      </w:r>
      <w:r w:rsidR="005E499C">
        <w:rPr>
          <w:rFonts w:ascii="Times New Roman" w:hAnsi="Times New Roman"/>
        </w:rPr>
        <w:t>in a community</w:t>
      </w:r>
      <w:r w:rsidR="00EB06C1">
        <w:rPr>
          <w:rFonts w:ascii="Times New Roman" w:hAnsi="Times New Roman"/>
        </w:rPr>
        <w:t>.</w:t>
      </w:r>
    </w:p>
    <w:p w14:paraId="21776A0A" w14:textId="3322CDEB" w:rsidR="00EB06C1" w:rsidRDefault="00EB06C1" w:rsidP="00BA1D25">
      <w:pPr>
        <w:pStyle w:val="ListParagraph"/>
        <w:numPr>
          <w:ilvl w:val="0"/>
          <w:numId w:val="21"/>
        </w:numPr>
        <w:rPr>
          <w:rFonts w:ascii="Times New Roman" w:hAnsi="Times New Roman"/>
        </w:rPr>
      </w:pPr>
      <w:r w:rsidRPr="00EB06C1">
        <w:rPr>
          <w:rFonts w:ascii="Times New Roman" w:hAnsi="Times New Roman"/>
        </w:rPr>
        <w:t>TS060 - Industry</w:t>
      </w:r>
    </w:p>
    <w:p w14:paraId="524082C6" w14:textId="25476207" w:rsidR="001731A3" w:rsidRDefault="00DF0184" w:rsidP="00BA1D25">
      <w:pPr>
        <w:ind w:left="720"/>
        <w:rPr>
          <w:rFonts w:ascii="Times New Roman" w:hAnsi="Times New Roman"/>
        </w:rPr>
      </w:pPr>
      <w:r>
        <w:rPr>
          <w:rFonts w:ascii="Times New Roman" w:hAnsi="Times New Roman"/>
        </w:rPr>
        <w:t xml:space="preserve">According to </w:t>
      </w:r>
      <w:r w:rsidRPr="008146DE">
        <w:rPr>
          <w:rFonts w:ascii="Times New Roman" w:hAnsi="Times New Roman"/>
        </w:rPr>
        <w:t xml:space="preserve">the </w:t>
      </w:r>
      <w:r w:rsidRPr="00DF0184">
        <w:rPr>
          <w:rFonts w:ascii="Times New Roman" w:hAnsi="Times New Roman"/>
        </w:rPr>
        <w:t>Standard Industrial Classification</w:t>
      </w:r>
      <w:r w:rsidR="00377462">
        <w:rPr>
          <w:rFonts w:ascii="Times New Roman" w:hAnsi="Times New Roman"/>
        </w:rPr>
        <w:t xml:space="preserve"> (2),</w:t>
      </w:r>
      <w:r>
        <w:rPr>
          <w:rFonts w:ascii="Times New Roman" w:hAnsi="Times New Roman"/>
        </w:rPr>
        <w:t xml:space="preserve"> ‘</w:t>
      </w:r>
      <w:r w:rsidRPr="00DF0184">
        <w:rPr>
          <w:rFonts w:ascii="Times New Roman" w:hAnsi="Times New Roman"/>
        </w:rPr>
        <w:t>Computer programming, consultancy and related activitie</w:t>
      </w:r>
      <w:r>
        <w:rPr>
          <w:rFonts w:ascii="Times New Roman" w:hAnsi="Times New Roman"/>
        </w:rPr>
        <w:t>s’ and ‘</w:t>
      </w:r>
      <w:r w:rsidRPr="00DF0184">
        <w:rPr>
          <w:rFonts w:ascii="Times New Roman" w:hAnsi="Times New Roman"/>
        </w:rPr>
        <w:t>Information service activities</w:t>
      </w:r>
      <w:r>
        <w:rPr>
          <w:rFonts w:ascii="Times New Roman" w:hAnsi="Times New Roman"/>
        </w:rPr>
        <w:t>’ were classified as ‘</w:t>
      </w:r>
      <w:r w:rsidRPr="00DF0184">
        <w:rPr>
          <w:rFonts w:ascii="Times New Roman" w:hAnsi="Times New Roman"/>
        </w:rPr>
        <w:t>J: Information and communication</w:t>
      </w:r>
      <w:r>
        <w:rPr>
          <w:rFonts w:ascii="Times New Roman" w:hAnsi="Times New Roman"/>
        </w:rPr>
        <w:t>’ industry, so ‘</w:t>
      </w:r>
      <w:r w:rsidRPr="00DF0184">
        <w:rPr>
          <w:rFonts w:ascii="Times New Roman" w:hAnsi="Times New Roman"/>
        </w:rPr>
        <w:t>J: Information and communication (%)</w:t>
      </w:r>
      <w:r>
        <w:rPr>
          <w:rFonts w:ascii="Times New Roman" w:hAnsi="Times New Roman"/>
        </w:rPr>
        <w:t>’ variable in this table was selected as it reflect</w:t>
      </w:r>
      <w:r w:rsidR="005E499C">
        <w:rPr>
          <w:rFonts w:ascii="Times New Roman" w:hAnsi="Times New Roman"/>
        </w:rPr>
        <w:t>s</w:t>
      </w:r>
      <w:r>
        <w:rPr>
          <w:rFonts w:ascii="Times New Roman" w:hAnsi="Times New Roman"/>
        </w:rPr>
        <w:t xml:space="preserve"> how likely residents work</w:t>
      </w:r>
      <w:r w:rsidR="00792411">
        <w:rPr>
          <w:rFonts w:ascii="Times New Roman" w:hAnsi="Times New Roman"/>
        </w:rPr>
        <w:t>ed</w:t>
      </w:r>
      <w:r>
        <w:rPr>
          <w:rFonts w:ascii="Times New Roman" w:hAnsi="Times New Roman"/>
        </w:rPr>
        <w:t xml:space="preserve"> in relevant industry</w:t>
      </w:r>
      <w:r w:rsidR="005E499C">
        <w:rPr>
          <w:rFonts w:ascii="Times New Roman" w:hAnsi="Times New Roman"/>
        </w:rPr>
        <w:t xml:space="preserve"> as the users’ in a community</w:t>
      </w:r>
      <w:r>
        <w:rPr>
          <w:rFonts w:ascii="Times New Roman" w:hAnsi="Times New Roman"/>
        </w:rPr>
        <w:t>.</w:t>
      </w:r>
    </w:p>
    <w:p w14:paraId="44E2AD69" w14:textId="116664F7" w:rsidR="008857BE" w:rsidRDefault="009629AB" w:rsidP="00BA1D25">
      <w:pPr>
        <w:pStyle w:val="ListParagraph"/>
        <w:numPr>
          <w:ilvl w:val="0"/>
          <w:numId w:val="21"/>
        </w:numPr>
        <w:rPr>
          <w:rFonts w:ascii="Times New Roman" w:hAnsi="Times New Roman"/>
        </w:rPr>
      </w:pPr>
      <w:r w:rsidRPr="009629AB">
        <w:rPr>
          <w:rFonts w:ascii="Times New Roman" w:hAnsi="Times New Roman"/>
        </w:rPr>
        <w:t>RM024 - Economic activity status by sex by age</w:t>
      </w:r>
    </w:p>
    <w:p w14:paraId="3A672359" w14:textId="59141D4F" w:rsidR="009629AB" w:rsidRDefault="009629AB" w:rsidP="00BA1D25">
      <w:pPr>
        <w:pStyle w:val="ListParagraph"/>
        <w:rPr>
          <w:rFonts w:ascii="Times New Roman" w:hAnsi="Times New Roman"/>
        </w:rPr>
      </w:pPr>
      <w:r>
        <w:rPr>
          <w:rFonts w:ascii="Times New Roman" w:hAnsi="Times New Roman"/>
        </w:rPr>
        <w:t xml:space="preserve">The derived variable </w:t>
      </w:r>
      <w:r w:rsidR="00792411">
        <w:rPr>
          <w:rFonts w:ascii="Times New Roman" w:hAnsi="Times New Roman"/>
        </w:rPr>
        <w:t>‘</w:t>
      </w:r>
      <w:r w:rsidR="00792411" w:rsidRPr="00792411">
        <w:rPr>
          <w:rFonts w:ascii="Times New Roman" w:hAnsi="Times New Roman"/>
        </w:rPr>
        <w:t>Economically active (excluding full-time students): Unemployed</w:t>
      </w:r>
      <w:r w:rsidR="00823C7E">
        <w:rPr>
          <w:rFonts w:ascii="Times New Roman" w:hAnsi="Times New Roman"/>
        </w:rPr>
        <w:t xml:space="preserve"> (%)</w:t>
      </w:r>
      <w:r w:rsidR="00792411">
        <w:rPr>
          <w:rFonts w:ascii="Times New Roman" w:hAnsi="Times New Roman"/>
        </w:rPr>
        <w:t xml:space="preserve">’ </w:t>
      </w:r>
      <w:r w:rsidR="00792411" w:rsidRPr="00792411">
        <w:rPr>
          <w:rFonts w:ascii="Times New Roman" w:hAnsi="Times New Roman"/>
        </w:rPr>
        <w:t xml:space="preserve">is the relevant quality as it shows </w:t>
      </w:r>
      <w:r w:rsidR="00823C7E">
        <w:rPr>
          <w:rFonts w:ascii="Times New Roman" w:hAnsi="Times New Roman"/>
        </w:rPr>
        <w:t>the difficulty of getting job in a community. It was calculated from dividing the e</w:t>
      </w:r>
      <w:r w:rsidR="00823C7E" w:rsidRPr="00823C7E">
        <w:rPr>
          <w:rFonts w:ascii="Times New Roman" w:hAnsi="Times New Roman"/>
        </w:rPr>
        <w:t xml:space="preserve">conomically active </w:t>
      </w:r>
      <w:r w:rsidR="00823C7E">
        <w:rPr>
          <w:rFonts w:ascii="Times New Roman" w:hAnsi="Times New Roman"/>
        </w:rPr>
        <w:t xml:space="preserve">but unemployed population by total </w:t>
      </w:r>
      <w:r w:rsidR="00823C7E" w:rsidRPr="00823C7E">
        <w:rPr>
          <w:rFonts w:ascii="Times New Roman" w:hAnsi="Times New Roman"/>
        </w:rPr>
        <w:t>economically active</w:t>
      </w:r>
      <w:r w:rsidR="00823C7E">
        <w:rPr>
          <w:rFonts w:ascii="Times New Roman" w:hAnsi="Times New Roman"/>
        </w:rPr>
        <w:t xml:space="preserve"> population. Full-time students were excluded.</w:t>
      </w:r>
    </w:p>
    <w:p w14:paraId="76DDB7F4" w14:textId="007294BE" w:rsidR="000250E0" w:rsidRDefault="00541EE5" w:rsidP="00BA1D25">
      <w:pPr>
        <w:rPr>
          <w:rFonts w:ascii="Times New Roman" w:hAnsi="Times New Roman"/>
        </w:rPr>
      </w:pPr>
      <w:r>
        <w:rPr>
          <w:rFonts w:ascii="Times New Roman" w:hAnsi="Times New Roman"/>
        </w:rPr>
        <w:t>Census 2021 provided tables at different geographical level</w:t>
      </w:r>
      <w:r w:rsidR="005E499C">
        <w:rPr>
          <w:rFonts w:ascii="Times New Roman" w:hAnsi="Times New Roman"/>
        </w:rPr>
        <w:t xml:space="preserve">, </w:t>
      </w:r>
      <w:r>
        <w:rPr>
          <w:rFonts w:ascii="Times New Roman" w:hAnsi="Times New Roman"/>
        </w:rPr>
        <w:t xml:space="preserve">from </w:t>
      </w:r>
      <w:r w:rsidRPr="00541EE5">
        <w:rPr>
          <w:rFonts w:ascii="Times New Roman" w:hAnsi="Times New Roman"/>
        </w:rPr>
        <w:t>Output Area</w:t>
      </w:r>
      <w:r>
        <w:rPr>
          <w:rFonts w:ascii="Times New Roman" w:hAnsi="Times New Roman"/>
        </w:rPr>
        <w:t xml:space="preserve">s which were </w:t>
      </w:r>
      <w:r w:rsidRPr="00541EE5">
        <w:rPr>
          <w:rFonts w:ascii="Times New Roman" w:hAnsi="Times New Roman"/>
        </w:rPr>
        <w:t>made up of between 40 and 250 households</w:t>
      </w:r>
      <w:r>
        <w:rPr>
          <w:rFonts w:ascii="Times New Roman" w:hAnsi="Times New Roman"/>
        </w:rPr>
        <w:t xml:space="preserve"> each, to Regions which consisted of 9 areas (10 if Wales was included). Choosing tables with lower geographical level </w:t>
      </w:r>
      <w:r w:rsidR="00405D7A">
        <w:rPr>
          <w:rFonts w:ascii="Times New Roman" w:hAnsi="Times New Roman"/>
        </w:rPr>
        <w:t xml:space="preserve">could overwhelm users with thousands of choices and add difficulty in visualization, while </w:t>
      </w:r>
      <w:r w:rsidR="00740EA1">
        <w:rPr>
          <w:rFonts w:ascii="Times New Roman" w:hAnsi="Times New Roman"/>
        </w:rPr>
        <w:t xml:space="preserve">higher geographical level could result in the loss of information for users to select specific areas that meet their requirements. Eventually, tables at 331 </w:t>
      </w:r>
      <w:r w:rsidR="00740EA1" w:rsidRPr="00740EA1">
        <w:rPr>
          <w:rFonts w:ascii="Times New Roman" w:hAnsi="Times New Roman"/>
        </w:rPr>
        <w:t>local authority districts</w:t>
      </w:r>
      <w:r w:rsidR="00740EA1">
        <w:rPr>
          <w:rFonts w:ascii="Times New Roman" w:hAnsi="Times New Roman"/>
        </w:rPr>
        <w:t xml:space="preserve"> level were used for </w:t>
      </w:r>
      <w:r w:rsidR="000073D2">
        <w:rPr>
          <w:rFonts w:ascii="Times New Roman" w:hAnsi="Times New Roman"/>
        </w:rPr>
        <w:t>a</w:t>
      </w:r>
      <w:r w:rsidR="001E2B18">
        <w:rPr>
          <w:rFonts w:ascii="Times New Roman" w:hAnsi="Times New Roman"/>
        </w:rPr>
        <w:t xml:space="preserve"> </w:t>
      </w:r>
      <w:r w:rsidR="000073D2">
        <w:rPr>
          <w:rFonts w:ascii="Times New Roman" w:hAnsi="Times New Roman"/>
        </w:rPr>
        <w:t>manageable number of records to be visualized while the goals of selecting the right area to live could still be achieved.</w:t>
      </w:r>
    </w:p>
    <w:p w14:paraId="053FDC91" w14:textId="4F2F8C11" w:rsidR="000073D2" w:rsidRDefault="000073D2" w:rsidP="00BA1D25">
      <w:pPr>
        <w:rPr>
          <w:rFonts w:ascii="Times New Roman" w:hAnsi="Times New Roman"/>
        </w:rPr>
      </w:pPr>
      <w:r>
        <w:rPr>
          <w:rFonts w:ascii="Times New Roman" w:hAnsi="Times New Roman"/>
        </w:rPr>
        <w:t xml:space="preserve">Apart from </w:t>
      </w:r>
      <w:r w:rsidRPr="00740EA1">
        <w:rPr>
          <w:rFonts w:ascii="Times New Roman" w:hAnsi="Times New Roman"/>
        </w:rPr>
        <w:t>local authority districts</w:t>
      </w:r>
      <w:r>
        <w:rPr>
          <w:rFonts w:ascii="Times New Roman" w:hAnsi="Times New Roman"/>
        </w:rPr>
        <w:t xml:space="preserve"> that were originally available in the tables, county and region/country (for Wales) </w:t>
      </w:r>
      <w:r w:rsidR="00D44989">
        <w:rPr>
          <w:rFonts w:ascii="Times New Roman" w:hAnsi="Times New Roman"/>
        </w:rPr>
        <w:t xml:space="preserve">variables </w:t>
      </w:r>
      <w:r>
        <w:rPr>
          <w:rFonts w:ascii="Times New Roman" w:hAnsi="Times New Roman"/>
        </w:rPr>
        <w:t>were also added</w:t>
      </w:r>
      <w:r w:rsidR="00D44989">
        <w:rPr>
          <w:rFonts w:ascii="Times New Roman" w:hAnsi="Times New Roman"/>
        </w:rPr>
        <w:t xml:space="preserve"> (3) </w:t>
      </w:r>
      <w:r>
        <w:rPr>
          <w:rFonts w:ascii="Times New Roman" w:hAnsi="Times New Roman"/>
        </w:rPr>
        <w:t>to provide higher level of geographic data, so that the local authorities can be located more easily.</w:t>
      </w:r>
    </w:p>
    <w:p w14:paraId="1E11177E" w14:textId="2F66DE86" w:rsidR="000073D2" w:rsidRDefault="00AE4987" w:rsidP="00BA1D25">
      <w:pPr>
        <w:rPr>
          <w:rFonts w:ascii="Times New Roman" w:hAnsi="Times New Roman"/>
        </w:rPr>
      </w:pPr>
      <w:r>
        <w:rPr>
          <w:rFonts w:ascii="Times New Roman" w:hAnsi="Times New Roman"/>
        </w:rPr>
        <w:t xml:space="preserve">Then the tables were merged to be one dataset with </w:t>
      </w:r>
      <w:r w:rsidR="00CF1F1A">
        <w:rPr>
          <w:rFonts w:ascii="Times New Roman" w:hAnsi="Times New Roman"/>
        </w:rPr>
        <w:t>the code representing each local authority (</w:t>
      </w:r>
      <w:r w:rsidR="00CF1F1A" w:rsidRPr="00CF1F1A">
        <w:rPr>
          <w:rFonts w:ascii="Times New Roman" w:hAnsi="Times New Roman"/>
        </w:rPr>
        <w:t>Lad22Cd</w:t>
      </w:r>
      <w:r w:rsidR="00CF1F1A">
        <w:rPr>
          <w:rFonts w:ascii="Times New Roman" w:hAnsi="Times New Roman"/>
        </w:rPr>
        <w:t xml:space="preserve">) as the key. The dataset type of this dataset is a table, with </w:t>
      </w:r>
      <w:r w:rsidR="00CF1F1A" w:rsidRPr="00740EA1">
        <w:rPr>
          <w:rFonts w:ascii="Times New Roman" w:hAnsi="Times New Roman"/>
        </w:rPr>
        <w:t>local authority districts</w:t>
      </w:r>
      <w:r w:rsidR="00CF1F1A">
        <w:rPr>
          <w:rFonts w:ascii="Times New Roman" w:hAnsi="Times New Roman"/>
        </w:rPr>
        <w:t xml:space="preserve"> as key/item and other variables as attributes.</w:t>
      </w:r>
    </w:p>
    <w:p w14:paraId="3D8EF9C1" w14:textId="77777777" w:rsidR="00954839" w:rsidRDefault="00954839" w:rsidP="00BA1D25">
      <w:pPr>
        <w:rPr>
          <w:rFonts w:ascii="Times New Roman" w:hAnsi="Times New Roman"/>
        </w:rPr>
      </w:pPr>
    </w:p>
    <w:p w14:paraId="55A02E38" w14:textId="03801AAE" w:rsidR="00AB15F2" w:rsidRPr="006103C9" w:rsidRDefault="006103C9" w:rsidP="00BA1D25">
      <w:pPr>
        <w:rPr>
          <w:rFonts w:ascii="Times New Roman" w:hAnsi="Times New Roman"/>
          <w:b/>
          <w:bCs/>
        </w:rPr>
      </w:pPr>
      <w:r>
        <w:rPr>
          <w:rFonts w:ascii="Times New Roman" w:hAnsi="Times New Roman"/>
          <w:b/>
          <w:bCs/>
        </w:rPr>
        <w:t>3.2</w:t>
      </w:r>
      <w:r>
        <w:rPr>
          <w:rFonts w:ascii="Times New Roman" w:hAnsi="Times New Roman"/>
          <w:b/>
          <w:bCs/>
        </w:rPr>
        <w:tab/>
      </w:r>
      <w:r w:rsidR="00AB15F2" w:rsidRPr="006103C9">
        <w:rPr>
          <w:rFonts w:ascii="Times New Roman" w:hAnsi="Times New Roman"/>
          <w:b/>
          <w:bCs/>
        </w:rPr>
        <w:t>Geocoding package</w:t>
      </w:r>
    </w:p>
    <w:p w14:paraId="4E7B027B" w14:textId="63CF0A7F" w:rsidR="00835D50" w:rsidRDefault="00835D50" w:rsidP="00BA1D25">
      <w:pPr>
        <w:rPr>
          <w:rFonts w:ascii="Times New Roman" w:hAnsi="Times New Roman"/>
          <w:lang w:val="en-HK"/>
        </w:rPr>
      </w:pPr>
      <w:r>
        <w:rPr>
          <w:rFonts w:ascii="Times New Roman" w:hAnsi="Times New Roman"/>
          <w:lang w:val="en-HK"/>
        </w:rPr>
        <w:t xml:space="preserve">To </w:t>
      </w:r>
      <w:r w:rsidRPr="00835D50">
        <w:rPr>
          <w:rFonts w:ascii="Times New Roman" w:hAnsi="Times New Roman"/>
          <w:lang w:val="en-HK"/>
        </w:rPr>
        <w:t>plot the census</w:t>
      </w:r>
      <w:r>
        <w:rPr>
          <w:rFonts w:ascii="Times New Roman" w:hAnsi="Times New Roman"/>
          <w:lang w:val="en-HK"/>
        </w:rPr>
        <w:t xml:space="preserve"> 2021</w:t>
      </w:r>
      <w:r w:rsidRPr="00835D50">
        <w:rPr>
          <w:rFonts w:ascii="Times New Roman" w:hAnsi="Times New Roman"/>
          <w:lang w:val="en-HK"/>
        </w:rPr>
        <w:t xml:space="preserve"> data</w:t>
      </w:r>
      <w:r>
        <w:rPr>
          <w:rFonts w:ascii="Times New Roman" w:hAnsi="Times New Roman"/>
          <w:lang w:val="en-HK"/>
        </w:rPr>
        <w:t xml:space="preserve"> on </w:t>
      </w:r>
      <w:r w:rsidR="006103C9">
        <w:rPr>
          <w:rFonts w:ascii="Times New Roman" w:hAnsi="Times New Roman"/>
          <w:lang w:val="en-HK"/>
        </w:rPr>
        <w:t xml:space="preserve">a </w:t>
      </w:r>
      <w:r>
        <w:rPr>
          <w:rFonts w:ascii="Times New Roman" w:hAnsi="Times New Roman"/>
          <w:lang w:val="en-HK"/>
        </w:rPr>
        <w:t xml:space="preserve">map, a corresponding </w:t>
      </w:r>
      <w:bookmarkStart w:id="0" w:name="_Hlk135228944"/>
      <w:r w:rsidR="006103C9">
        <w:rPr>
          <w:rFonts w:ascii="Times New Roman" w:hAnsi="Times New Roman"/>
          <w:lang w:val="en-HK"/>
        </w:rPr>
        <w:t xml:space="preserve">up-to-date </w:t>
      </w:r>
      <w:r w:rsidRPr="00835D50">
        <w:rPr>
          <w:rFonts w:ascii="Times New Roman" w:hAnsi="Times New Roman"/>
          <w:lang w:val="en-HK"/>
        </w:rPr>
        <w:t>geocoding package</w:t>
      </w:r>
      <w:r>
        <w:rPr>
          <w:rFonts w:ascii="Times New Roman" w:hAnsi="Times New Roman"/>
          <w:lang w:val="en-HK"/>
        </w:rPr>
        <w:t xml:space="preserve"> </w:t>
      </w:r>
      <w:bookmarkEnd w:id="0"/>
      <w:r>
        <w:rPr>
          <w:rFonts w:ascii="Times New Roman" w:hAnsi="Times New Roman"/>
          <w:lang w:val="en-HK"/>
        </w:rPr>
        <w:t xml:space="preserve">was required. A </w:t>
      </w:r>
      <w:proofErr w:type="spellStart"/>
      <w:r w:rsidRPr="00835D50">
        <w:rPr>
          <w:rFonts w:ascii="Times New Roman" w:hAnsi="Times New Roman"/>
          <w:lang w:val="en-HK"/>
        </w:rPr>
        <w:t>GeoJSON</w:t>
      </w:r>
      <w:proofErr w:type="spellEnd"/>
      <w:r>
        <w:rPr>
          <w:rFonts w:ascii="Times New Roman" w:hAnsi="Times New Roman"/>
          <w:lang w:val="en-HK"/>
        </w:rPr>
        <w:t xml:space="preserve"> file containing local authority districts’ location and shape data was </w:t>
      </w:r>
      <w:r w:rsidR="00FB3051">
        <w:rPr>
          <w:rFonts w:ascii="Times New Roman" w:hAnsi="Times New Roman"/>
          <w:lang w:val="en-HK"/>
        </w:rPr>
        <w:t>downloaded</w:t>
      </w:r>
      <w:r>
        <w:rPr>
          <w:rFonts w:ascii="Times New Roman" w:hAnsi="Times New Roman"/>
          <w:lang w:val="en-HK"/>
        </w:rPr>
        <w:t xml:space="preserve"> from t</w:t>
      </w:r>
      <w:r w:rsidRPr="00835D50">
        <w:rPr>
          <w:rFonts w:ascii="Times New Roman" w:hAnsi="Times New Roman"/>
          <w:lang w:val="en-HK"/>
        </w:rPr>
        <w:t xml:space="preserve">he ONS Geography Linked Data site </w:t>
      </w:r>
      <w:r w:rsidR="006103C9">
        <w:rPr>
          <w:rFonts w:ascii="Times New Roman" w:hAnsi="Times New Roman"/>
          <w:lang w:val="en-HK"/>
        </w:rPr>
        <w:t>(4)</w:t>
      </w:r>
      <w:r w:rsidR="00771467">
        <w:rPr>
          <w:rFonts w:ascii="Times New Roman" w:hAnsi="Times New Roman"/>
          <w:lang w:val="en-HK"/>
        </w:rPr>
        <w:t>, and</w:t>
      </w:r>
      <w:r>
        <w:rPr>
          <w:rFonts w:ascii="Times New Roman" w:hAnsi="Times New Roman"/>
          <w:lang w:val="en-HK"/>
        </w:rPr>
        <w:t xml:space="preserve"> the </w:t>
      </w:r>
      <w:r w:rsidRPr="00835D50">
        <w:rPr>
          <w:rFonts w:ascii="Times New Roman" w:hAnsi="Times New Roman"/>
          <w:lang w:val="en-HK"/>
        </w:rPr>
        <w:t xml:space="preserve">local authority </w:t>
      </w:r>
      <w:r>
        <w:rPr>
          <w:rFonts w:ascii="Times New Roman" w:hAnsi="Times New Roman"/>
          <w:lang w:val="en-HK"/>
        </w:rPr>
        <w:t xml:space="preserve">code </w:t>
      </w:r>
      <w:r w:rsidRPr="00835D50">
        <w:rPr>
          <w:rFonts w:ascii="Times New Roman" w:hAnsi="Times New Roman"/>
          <w:lang w:val="en-HK"/>
        </w:rPr>
        <w:t xml:space="preserve">(Lad22Cd) </w:t>
      </w:r>
      <w:r>
        <w:rPr>
          <w:rFonts w:ascii="Times New Roman" w:hAnsi="Times New Roman"/>
          <w:lang w:val="en-HK"/>
        </w:rPr>
        <w:t xml:space="preserve">was also used </w:t>
      </w:r>
      <w:r w:rsidRPr="00835D50">
        <w:rPr>
          <w:rFonts w:ascii="Times New Roman" w:hAnsi="Times New Roman"/>
          <w:lang w:val="en-HK"/>
        </w:rPr>
        <w:t>as the key</w:t>
      </w:r>
      <w:r>
        <w:rPr>
          <w:rFonts w:ascii="Times New Roman" w:hAnsi="Times New Roman"/>
          <w:lang w:val="en-HK"/>
        </w:rPr>
        <w:t xml:space="preserve"> to merge this </w:t>
      </w:r>
      <w:r w:rsidR="00A459C4">
        <w:rPr>
          <w:rFonts w:ascii="Times New Roman" w:hAnsi="Times New Roman"/>
          <w:lang w:val="en-HK"/>
        </w:rPr>
        <w:t>s</w:t>
      </w:r>
      <w:r w:rsidR="00A459C4" w:rsidRPr="00A459C4">
        <w:rPr>
          <w:rFonts w:ascii="Times New Roman" w:hAnsi="Times New Roman"/>
          <w:lang w:val="en-HK"/>
        </w:rPr>
        <w:t>patial</w:t>
      </w:r>
      <w:r w:rsidR="00A459C4">
        <w:rPr>
          <w:rFonts w:ascii="Times New Roman" w:hAnsi="Times New Roman"/>
          <w:lang w:val="en-HK"/>
        </w:rPr>
        <w:t xml:space="preserve"> dataset with the previously prepared table dataset within Tableau.</w:t>
      </w:r>
    </w:p>
    <w:p w14:paraId="558781C3" w14:textId="77777777" w:rsidR="00954839" w:rsidRDefault="00954839" w:rsidP="00BA1D25">
      <w:pPr>
        <w:rPr>
          <w:rFonts w:ascii="Times New Roman" w:hAnsi="Times New Roman"/>
          <w:lang w:val="en-HK"/>
        </w:rPr>
      </w:pPr>
    </w:p>
    <w:p w14:paraId="14F4588D" w14:textId="361C11D4" w:rsidR="00FB3051" w:rsidRPr="00771467" w:rsidRDefault="00771467" w:rsidP="00BA1D25">
      <w:pPr>
        <w:rPr>
          <w:rFonts w:ascii="Times New Roman" w:hAnsi="Times New Roman"/>
          <w:b/>
          <w:bCs/>
          <w:lang w:val="en-HK"/>
        </w:rPr>
      </w:pPr>
      <w:r w:rsidRPr="00771467">
        <w:rPr>
          <w:rFonts w:ascii="Times New Roman" w:hAnsi="Times New Roman"/>
          <w:b/>
          <w:bCs/>
          <w:lang w:val="en-HK"/>
        </w:rPr>
        <w:t>3.3</w:t>
      </w:r>
      <w:r w:rsidRPr="00771467">
        <w:rPr>
          <w:rFonts w:ascii="Times New Roman" w:hAnsi="Times New Roman"/>
          <w:b/>
          <w:bCs/>
          <w:lang w:val="en-HK"/>
        </w:rPr>
        <w:tab/>
      </w:r>
      <w:r w:rsidR="00FB3051" w:rsidRPr="00771467">
        <w:rPr>
          <w:rFonts w:ascii="Times New Roman" w:hAnsi="Times New Roman"/>
          <w:b/>
          <w:bCs/>
          <w:lang w:val="en-HK"/>
        </w:rPr>
        <w:t>Missing value:</w:t>
      </w:r>
    </w:p>
    <w:p w14:paraId="78D1FA5C" w14:textId="5B9485D8" w:rsidR="000073D2" w:rsidRDefault="00301842" w:rsidP="00BA1D25">
      <w:pPr>
        <w:rPr>
          <w:rFonts w:ascii="Times New Roman" w:hAnsi="Times New Roman"/>
          <w:lang w:val="en-HK"/>
        </w:rPr>
      </w:pPr>
      <w:r>
        <w:rPr>
          <w:rFonts w:ascii="Times New Roman" w:hAnsi="Times New Roman"/>
          <w:lang w:val="en-HK"/>
        </w:rPr>
        <w:t xml:space="preserve">No missing value was found from the tables and </w:t>
      </w:r>
      <w:r w:rsidRPr="00301842">
        <w:rPr>
          <w:rFonts w:ascii="Times New Roman" w:hAnsi="Times New Roman"/>
          <w:lang w:val="en-HK"/>
        </w:rPr>
        <w:t xml:space="preserve">geocoding package </w:t>
      </w:r>
      <w:r>
        <w:rPr>
          <w:rFonts w:ascii="Times New Roman" w:hAnsi="Times New Roman"/>
          <w:lang w:val="en-HK"/>
        </w:rPr>
        <w:t>which were all downloaded from ONS.</w:t>
      </w:r>
    </w:p>
    <w:p w14:paraId="44C29AC4" w14:textId="77777777" w:rsidR="00D358AE" w:rsidRPr="00857383" w:rsidRDefault="00D358AE" w:rsidP="00BA1D25">
      <w:pPr>
        <w:pStyle w:val="ListBullet"/>
        <w:numPr>
          <w:ilvl w:val="0"/>
          <w:numId w:val="0"/>
        </w:numPr>
        <w:ind w:left="720"/>
        <w:rPr>
          <w:rFonts w:ascii="Times New Roman" w:hAnsi="Times New Roman"/>
          <w:lang w:val="en-HK"/>
        </w:rPr>
      </w:pPr>
    </w:p>
    <w:p w14:paraId="0C1E2093" w14:textId="7642DB07" w:rsidR="00C30935" w:rsidRPr="00D232ED" w:rsidRDefault="00C30935" w:rsidP="00BA1D25">
      <w:pPr>
        <w:pStyle w:val="Heading1"/>
        <w:numPr>
          <w:ilvl w:val="0"/>
          <w:numId w:val="12"/>
        </w:numPr>
        <w:rPr>
          <w:rFonts w:ascii="Times New Roman" w:hAnsi="Times New Roman" w:cs="Times New Roman"/>
          <w:b/>
          <w:bCs/>
          <w:sz w:val="24"/>
          <w:szCs w:val="24"/>
        </w:rPr>
      </w:pPr>
      <w:r w:rsidRPr="00D232ED">
        <w:rPr>
          <w:rFonts w:ascii="Times New Roman" w:hAnsi="Times New Roman" w:cs="Times New Roman"/>
          <w:b/>
          <w:bCs/>
          <w:sz w:val="24"/>
          <w:szCs w:val="24"/>
        </w:rPr>
        <w:t>Visualisation Justification</w:t>
      </w:r>
    </w:p>
    <w:p w14:paraId="20529EE6" w14:textId="106331F0" w:rsidR="008D2C06" w:rsidRPr="00D232ED" w:rsidRDefault="00857383" w:rsidP="00BA1D25">
      <w:pPr>
        <w:rPr>
          <w:rFonts w:ascii="Times New Roman" w:hAnsi="Times New Roman"/>
          <w:b/>
          <w:bCs/>
        </w:rPr>
      </w:pPr>
      <w:r>
        <w:rPr>
          <w:rFonts w:ascii="Times New Roman" w:hAnsi="Times New Roman"/>
          <w:b/>
          <w:bCs/>
        </w:rPr>
        <w:t>4</w:t>
      </w:r>
      <w:r w:rsidR="00D232ED" w:rsidRPr="00D232ED">
        <w:rPr>
          <w:rFonts w:ascii="Times New Roman" w:hAnsi="Times New Roman"/>
          <w:b/>
          <w:bCs/>
        </w:rPr>
        <w:t xml:space="preserve">.1 </w:t>
      </w:r>
      <w:r w:rsidR="008D2C06" w:rsidRPr="00D232ED">
        <w:rPr>
          <w:rFonts w:ascii="Times New Roman" w:hAnsi="Times New Roman"/>
          <w:b/>
          <w:bCs/>
        </w:rPr>
        <w:t>Dimensionality Reduction</w:t>
      </w:r>
      <w:r w:rsidR="00CD42CC" w:rsidRPr="00D232ED">
        <w:rPr>
          <w:rFonts w:ascii="Times New Roman" w:hAnsi="Times New Roman"/>
          <w:b/>
          <w:bCs/>
        </w:rPr>
        <w:t xml:space="preserve"> </w:t>
      </w:r>
      <w:r w:rsidR="00AE67EF">
        <w:rPr>
          <w:rFonts w:ascii="Times New Roman" w:hAnsi="Times New Roman"/>
          <w:b/>
          <w:bCs/>
        </w:rPr>
        <w:t>and Clustering</w:t>
      </w:r>
    </w:p>
    <w:p w14:paraId="3D08129E" w14:textId="5124A490" w:rsidR="008D2C06" w:rsidRDefault="008D2C06" w:rsidP="00BA1D25">
      <w:pPr>
        <w:rPr>
          <w:rFonts w:ascii="Times New Roman" w:hAnsi="Times New Roman"/>
        </w:rPr>
      </w:pPr>
      <w:r>
        <w:rPr>
          <w:rFonts w:ascii="Times New Roman" w:hAnsi="Times New Roman"/>
        </w:rPr>
        <w:t>The following five variables that represents users’ requirements for considering where to live in were the input for the d</w:t>
      </w:r>
      <w:r w:rsidRPr="008D2C06">
        <w:rPr>
          <w:rFonts w:ascii="Times New Roman" w:hAnsi="Times New Roman"/>
        </w:rPr>
        <w:t xml:space="preserve">imensionality </w:t>
      </w:r>
      <w:r>
        <w:rPr>
          <w:rFonts w:ascii="Times New Roman" w:hAnsi="Times New Roman"/>
        </w:rPr>
        <w:t>r</w:t>
      </w:r>
      <w:r w:rsidRPr="008D2C06">
        <w:rPr>
          <w:rFonts w:ascii="Times New Roman" w:hAnsi="Times New Roman"/>
        </w:rPr>
        <w:t>eduction</w:t>
      </w:r>
      <w:r>
        <w:rPr>
          <w:rFonts w:ascii="Times New Roman" w:hAnsi="Times New Roman"/>
        </w:rPr>
        <w:t>, to form two low dimension representation variables for visualization:</w:t>
      </w:r>
    </w:p>
    <w:p w14:paraId="798412B0" w14:textId="77777777" w:rsidR="008D2C06" w:rsidRPr="008D2C06" w:rsidRDefault="008D2C06" w:rsidP="00BA1D25">
      <w:pPr>
        <w:pStyle w:val="ListParagraph"/>
        <w:numPr>
          <w:ilvl w:val="0"/>
          <w:numId w:val="21"/>
        </w:numPr>
        <w:rPr>
          <w:rFonts w:ascii="Times New Roman" w:hAnsi="Times New Roman"/>
        </w:rPr>
      </w:pPr>
      <w:r w:rsidRPr="008D2C06">
        <w:rPr>
          <w:rFonts w:ascii="Times New Roman" w:hAnsi="Times New Roman"/>
        </w:rPr>
        <w:lastRenderedPageBreak/>
        <w:t xml:space="preserve">The variable ‘Aged 25 to 34 years (%)’ </w:t>
      </w:r>
    </w:p>
    <w:p w14:paraId="5B796E58" w14:textId="77777777" w:rsidR="008D2C06" w:rsidRPr="008D2C06" w:rsidRDefault="008D2C06" w:rsidP="00BA1D25">
      <w:pPr>
        <w:pStyle w:val="ListParagraph"/>
        <w:numPr>
          <w:ilvl w:val="0"/>
          <w:numId w:val="21"/>
        </w:numPr>
        <w:rPr>
          <w:rFonts w:ascii="Times New Roman" w:hAnsi="Times New Roman"/>
        </w:rPr>
      </w:pPr>
      <w:r w:rsidRPr="008D2C06">
        <w:rPr>
          <w:rFonts w:ascii="Times New Roman" w:hAnsi="Times New Roman"/>
        </w:rPr>
        <w:t xml:space="preserve">‘Never married: Aged 25 to 34 years (Grand Total%)’ </w:t>
      </w:r>
    </w:p>
    <w:p w14:paraId="412BA918" w14:textId="77777777" w:rsidR="008D2C06" w:rsidRPr="008D2C06" w:rsidRDefault="008D2C06" w:rsidP="00BA1D25">
      <w:pPr>
        <w:pStyle w:val="ListParagraph"/>
        <w:numPr>
          <w:ilvl w:val="0"/>
          <w:numId w:val="21"/>
        </w:numPr>
        <w:rPr>
          <w:rFonts w:ascii="Times New Roman" w:hAnsi="Times New Roman"/>
        </w:rPr>
      </w:pPr>
      <w:r w:rsidRPr="008D2C06">
        <w:rPr>
          <w:rFonts w:ascii="Times New Roman" w:hAnsi="Times New Roman"/>
        </w:rPr>
        <w:t xml:space="preserve">‘2. Professional occupations (%)’ </w:t>
      </w:r>
    </w:p>
    <w:p w14:paraId="09F4A889" w14:textId="77777777" w:rsidR="008D2C06" w:rsidRPr="008D2C06" w:rsidRDefault="008D2C06" w:rsidP="00BA1D25">
      <w:pPr>
        <w:pStyle w:val="ListParagraph"/>
        <w:numPr>
          <w:ilvl w:val="0"/>
          <w:numId w:val="21"/>
        </w:numPr>
        <w:rPr>
          <w:rFonts w:ascii="Times New Roman" w:hAnsi="Times New Roman"/>
        </w:rPr>
      </w:pPr>
      <w:r w:rsidRPr="008D2C06">
        <w:rPr>
          <w:rFonts w:ascii="Times New Roman" w:hAnsi="Times New Roman"/>
        </w:rPr>
        <w:t xml:space="preserve">‘J: Information and communication (%)’ </w:t>
      </w:r>
    </w:p>
    <w:p w14:paraId="122B09A8" w14:textId="6A465D74" w:rsidR="008D2C06" w:rsidRPr="008D2C06" w:rsidRDefault="008D2C06" w:rsidP="00BA1D25">
      <w:pPr>
        <w:pStyle w:val="ListParagraph"/>
        <w:numPr>
          <w:ilvl w:val="0"/>
          <w:numId w:val="21"/>
        </w:numPr>
        <w:rPr>
          <w:rFonts w:ascii="Times New Roman" w:hAnsi="Times New Roman"/>
        </w:rPr>
      </w:pPr>
      <w:r w:rsidRPr="008D2C06">
        <w:rPr>
          <w:rFonts w:ascii="Times New Roman" w:hAnsi="Times New Roman"/>
        </w:rPr>
        <w:t>‘Economically active (excluding full-time students): Unemployed (%)’</w:t>
      </w:r>
    </w:p>
    <w:p w14:paraId="24D7863F" w14:textId="2BCC9CC0" w:rsidR="008D2C06" w:rsidRDefault="008D2C06" w:rsidP="00BA1D25">
      <w:pPr>
        <w:rPr>
          <w:rFonts w:ascii="Times New Roman" w:hAnsi="Times New Roman"/>
        </w:rPr>
      </w:pPr>
      <w:r>
        <w:rPr>
          <w:rFonts w:ascii="Times New Roman" w:hAnsi="Times New Roman"/>
        </w:rPr>
        <w:t>Both t-SNE and UMAP methods for d</w:t>
      </w:r>
      <w:r w:rsidRPr="008D2C06">
        <w:rPr>
          <w:rFonts w:ascii="Times New Roman" w:hAnsi="Times New Roman"/>
        </w:rPr>
        <w:t xml:space="preserve">imensionality </w:t>
      </w:r>
      <w:r>
        <w:rPr>
          <w:rFonts w:ascii="Times New Roman" w:hAnsi="Times New Roman"/>
        </w:rPr>
        <w:t>r</w:t>
      </w:r>
      <w:r w:rsidRPr="008D2C06">
        <w:rPr>
          <w:rFonts w:ascii="Times New Roman" w:hAnsi="Times New Roman"/>
        </w:rPr>
        <w:t>eduction</w:t>
      </w:r>
      <w:r>
        <w:rPr>
          <w:rFonts w:ascii="Times New Roman" w:hAnsi="Times New Roman"/>
        </w:rPr>
        <w:t xml:space="preserve"> were used, and </w:t>
      </w:r>
      <w:r w:rsidR="00CD42CC">
        <w:rPr>
          <w:rFonts w:ascii="Times New Roman" w:hAnsi="Times New Roman"/>
        </w:rPr>
        <w:t>then clustering by Gaussian Mixture Model method was conducted on their low dimension representation variables to decide which d</w:t>
      </w:r>
      <w:r w:rsidR="00CD42CC" w:rsidRPr="008D2C06">
        <w:rPr>
          <w:rFonts w:ascii="Times New Roman" w:hAnsi="Times New Roman"/>
        </w:rPr>
        <w:t xml:space="preserve">imensionality </w:t>
      </w:r>
      <w:r w:rsidR="00CD42CC">
        <w:rPr>
          <w:rFonts w:ascii="Times New Roman" w:hAnsi="Times New Roman"/>
        </w:rPr>
        <w:t>r</w:t>
      </w:r>
      <w:r w:rsidR="00CD42CC" w:rsidRPr="008D2C06">
        <w:rPr>
          <w:rFonts w:ascii="Times New Roman" w:hAnsi="Times New Roman"/>
        </w:rPr>
        <w:t>eduction</w:t>
      </w:r>
      <w:r w:rsidR="00CD42CC">
        <w:rPr>
          <w:rFonts w:ascii="Times New Roman" w:hAnsi="Times New Roman"/>
        </w:rPr>
        <w:t xml:space="preserve"> would be used for analysis.</w:t>
      </w:r>
      <w:r w:rsidR="0092740F">
        <w:rPr>
          <w:rFonts w:ascii="Times New Roman" w:hAnsi="Times New Roman"/>
        </w:rPr>
        <w:t xml:space="preserve"> </w:t>
      </w:r>
    </w:p>
    <w:p w14:paraId="3435E406" w14:textId="3A4CACC9" w:rsidR="00CD42CC" w:rsidRPr="00542FDB" w:rsidRDefault="00CD42CC" w:rsidP="00BA1D25">
      <w:pPr>
        <w:rPr>
          <w:rFonts w:ascii="Times New Roman" w:hAnsi="Times New Roman"/>
          <w:u w:val="single"/>
        </w:rPr>
      </w:pPr>
      <w:r w:rsidRPr="00542FDB">
        <w:rPr>
          <w:rFonts w:ascii="Times New Roman" w:hAnsi="Times New Roman"/>
          <w:u w:val="single"/>
        </w:rPr>
        <w:t>UMAP</w:t>
      </w:r>
    </w:p>
    <w:p w14:paraId="118F192A" w14:textId="77EF407C" w:rsidR="00CD42CC" w:rsidRDefault="00CD42CC" w:rsidP="00BA1D25">
      <w:pPr>
        <w:rPr>
          <w:rFonts w:ascii="Times New Roman" w:hAnsi="Times New Roman"/>
        </w:rPr>
      </w:pPr>
      <w:r>
        <w:rPr>
          <w:rFonts w:ascii="Times New Roman" w:hAnsi="Times New Roman"/>
        </w:rPr>
        <w:t xml:space="preserve">There were 2 hyperparameters to be optimized: </w:t>
      </w:r>
      <w:r w:rsidR="00887418">
        <w:rPr>
          <w:rFonts w:ascii="Times New Roman" w:hAnsi="Times New Roman"/>
        </w:rPr>
        <w:t>n</w:t>
      </w:r>
      <w:r w:rsidR="00887418" w:rsidRPr="00887418">
        <w:rPr>
          <w:rFonts w:ascii="Times New Roman" w:hAnsi="Times New Roman"/>
        </w:rPr>
        <w:t>umber of neighbours</w:t>
      </w:r>
      <w:r w:rsidR="00887418">
        <w:rPr>
          <w:rFonts w:ascii="Times New Roman" w:hAnsi="Times New Roman"/>
        </w:rPr>
        <w:t xml:space="preserve"> and </w:t>
      </w:r>
      <w:r w:rsidR="00887418" w:rsidRPr="00887418">
        <w:rPr>
          <w:rFonts w:ascii="Times New Roman" w:hAnsi="Times New Roman"/>
        </w:rPr>
        <w:t>min-dist</w:t>
      </w:r>
      <w:r w:rsidR="00887418">
        <w:rPr>
          <w:rFonts w:ascii="Times New Roman" w:hAnsi="Times New Roman"/>
        </w:rPr>
        <w:t>.</w:t>
      </w:r>
    </w:p>
    <w:p w14:paraId="7CA38540" w14:textId="1BA69BA5" w:rsidR="00887418" w:rsidRDefault="00887418" w:rsidP="00BA1D25">
      <w:pPr>
        <w:rPr>
          <w:rFonts w:ascii="Times New Roman" w:hAnsi="Times New Roman"/>
        </w:rPr>
      </w:pPr>
      <w:r>
        <w:rPr>
          <w:rFonts w:ascii="Times New Roman" w:hAnsi="Times New Roman"/>
        </w:rPr>
        <w:t>Firstly, a list of n</w:t>
      </w:r>
      <w:r w:rsidRPr="00887418">
        <w:rPr>
          <w:rFonts w:ascii="Times New Roman" w:hAnsi="Times New Roman"/>
        </w:rPr>
        <w:t>umber of neighbours</w:t>
      </w:r>
      <w:r>
        <w:rPr>
          <w:rFonts w:ascii="Times New Roman" w:hAnsi="Times New Roman"/>
        </w:rPr>
        <w:t xml:space="preserve"> </w:t>
      </w:r>
      <w:r w:rsidRPr="00887418">
        <w:rPr>
          <w:rFonts w:ascii="Times New Roman" w:hAnsi="Times New Roman"/>
        </w:rPr>
        <w:t>(5, 10, 15, 20, 30, 50, 100, 200)</w:t>
      </w:r>
      <w:r>
        <w:rPr>
          <w:rFonts w:ascii="Times New Roman" w:hAnsi="Times New Roman"/>
        </w:rPr>
        <w:t xml:space="preserve"> was used to conduct UMAP, and the two resulting variables were visualized by scatterplot, to see which n</w:t>
      </w:r>
      <w:r w:rsidRPr="00887418">
        <w:rPr>
          <w:rFonts w:ascii="Times New Roman" w:hAnsi="Times New Roman"/>
        </w:rPr>
        <w:t>umber of neighbours</w:t>
      </w:r>
      <w:r>
        <w:rPr>
          <w:rFonts w:ascii="Times New Roman" w:hAnsi="Times New Roman"/>
        </w:rPr>
        <w:t xml:space="preserve"> could create the most identifiable structure for clustering. It was observed that n</w:t>
      </w:r>
      <w:r w:rsidRPr="00887418">
        <w:rPr>
          <w:rFonts w:ascii="Times New Roman" w:hAnsi="Times New Roman"/>
        </w:rPr>
        <w:t>umber of neighbours</w:t>
      </w:r>
      <w:r>
        <w:rPr>
          <w:rFonts w:ascii="Times New Roman" w:hAnsi="Times New Roman"/>
        </w:rPr>
        <w:t>=20 created the most well-defined distribution for clustering.</w:t>
      </w:r>
    </w:p>
    <w:p w14:paraId="5D46EA1A" w14:textId="77777777" w:rsidR="00887418" w:rsidRDefault="00887418" w:rsidP="00BA1D25">
      <w:pPr>
        <w:keepNext/>
      </w:pPr>
      <w:r>
        <w:rPr>
          <w:noProof/>
        </w:rPr>
        <w:drawing>
          <wp:inline distT="0" distB="0" distL="0" distR="0" wp14:anchorId="698B4C77" wp14:editId="5D1EE534">
            <wp:extent cx="3034602" cy="2497599"/>
            <wp:effectExtent l="0" t="0" r="0" b="0"/>
            <wp:docPr id="1" name="Picture 1" descr="A picture containing text, screensho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map&#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24" cy="2524284"/>
                    </a:xfrm>
                    <a:prstGeom prst="rect">
                      <a:avLst/>
                    </a:prstGeom>
                    <a:noFill/>
                    <a:ln>
                      <a:noFill/>
                    </a:ln>
                  </pic:spPr>
                </pic:pic>
              </a:graphicData>
            </a:graphic>
          </wp:inline>
        </w:drawing>
      </w:r>
    </w:p>
    <w:p w14:paraId="60D780E8" w14:textId="2306D560" w:rsidR="00887418" w:rsidRPr="00887418" w:rsidRDefault="00887418" w:rsidP="00BA1D25">
      <w:pPr>
        <w:pStyle w:val="Caption"/>
        <w:rPr>
          <w:rFonts w:ascii="Times New Roman" w:hAnsi="Times New Roman"/>
          <w:i w:val="0"/>
          <w:iCs w:val="0"/>
        </w:rPr>
      </w:pPr>
      <w:r w:rsidRPr="00887418">
        <w:rPr>
          <w:rFonts w:ascii="Times New Roman" w:hAnsi="Times New Roman"/>
          <w:i w:val="0"/>
          <w:iCs w:val="0"/>
        </w:rPr>
        <w:t xml:space="preserve">UMAP, </w:t>
      </w:r>
      <w:r w:rsidR="00AA6052" w:rsidRPr="00887418">
        <w:rPr>
          <w:rFonts w:ascii="Times New Roman" w:hAnsi="Times New Roman"/>
          <w:i w:val="0"/>
          <w:iCs w:val="0"/>
        </w:rPr>
        <w:t>neighbours</w:t>
      </w:r>
      <w:r w:rsidRPr="00887418">
        <w:rPr>
          <w:rFonts w:ascii="Times New Roman" w:hAnsi="Times New Roman"/>
          <w:i w:val="0"/>
          <w:iCs w:val="0"/>
        </w:rPr>
        <w:t xml:space="preserve">=20, </w:t>
      </w:r>
      <w:proofErr w:type="spellStart"/>
      <w:r w:rsidRPr="00887418">
        <w:rPr>
          <w:rFonts w:ascii="Times New Roman" w:hAnsi="Times New Roman"/>
          <w:i w:val="0"/>
          <w:iCs w:val="0"/>
        </w:rPr>
        <w:t>min_dist</w:t>
      </w:r>
      <w:proofErr w:type="spellEnd"/>
      <w:r w:rsidRPr="00887418">
        <w:rPr>
          <w:rFonts w:ascii="Times New Roman" w:hAnsi="Times New Roman"/>
          <w:i w:val="0"/>
          <w:iCs w:val="0"/>
        </w:rPr>
        <w:t>=0.1</w:t>
      </w:r>
    </w:p>
    <w:p w14:paraId="3B590936" w14:textId="77777777" w:rsidR="00F73D29" w:rsidRDefault="00887418" w:rsidP="00BA1D25">
      <w:pPr>
        <w:rPr>
          <w:rFonts w:ascii="Times New Roman" w:hAnsi="Times New Roman"/>
        </w:rPr>
      </w:pPr>
      <w:r>
        <w:rPr>
          <w:rFonts w:ascii="Times New Roman" w:hAnsi="Times New Roman"/>
        </w:rPr>
        <w:t xml:space="preserve">Then a list of </w:t>
      </w:r>
      <w:r w:rsidR="00EC492E" w:rsidRPr="00887418">
        <w:rPr>
          <w:rFonts w:ascii="Times New Roman" w:hAnsi="Times New Roman"/>
        </w:rPr>
        <w:t>min-</w:t>
      </w:r>
      <w:proofErr w:type="spellStart"/>
      <w:r w:rsidR="00EC492E" w:rsidRPr="00887418">
        <w:rPr>
          <w:rFonts w:ascii="Times New Roman" w:hAnsi="Times New Roman"/>
        </w:rPr>
        <w:t>dist</w:t>
      </w:r>
      <w:proofErr w:type="spellEnd"/>
      <w:r w:rsidR="00EC492E">
        <w:rPr>
          <w:rFonts w:ascii="Times New Roman" w:hAnsi="Times New Roman"/>
        </w:rPr>
        <w:t xml:space="preserve"> </w:t>
      </w:r>
      <w:r w:rsidR="00EC492E" w:rsidRPr="00EC492E">
        <w:rPr>
          <w:rFonts w:ascii="Times New Roman" w:hAnsi="Times New Roman"/>
        </w:rPr>
        <w:t>(0.0, 0.05,</w:t>
      </w:r>
      <w:r w:rsidR="00EC492E">
        <w:rPr>
          <w:rFonts w:ascii="Times New Roman" w:hAnsi="Times New Roman"/>
        </w:rPr>
        <w:t xml:space="preserve"> </w:t>
      </w:r>
      <w:r w:rsidR="00EC492E" w:rsidRPr="00EC492E">
        <w:rPr>
          <w:rFonts w:ascii="Times New Roman" w:hAnsi="Times New Roman"/>
        </w:rPr>
        <w:t>0.1, 0.15, 0.2, 0.25, 0.5, 0.8, 0.99)</w:t>
      </w:r>
      <w:r w:rsidR="00EC492E">
        <w:rPr>
          <w:rFonts w:ascii="Times New Roman" w:hAnsi="Times New Roman"/>
        </w:rPr>
        <w:t>, which</w:t>
      </w:r>
      <w:r w:rsidR="00EC492E" w:rsidRPr="00EC492E">
        <w:rPr>
          <w:rFonts w:ascii="Times New Roman" w:hAnsi="Times New Roman"/>
        </w:rPr>
        <w:t xml:space="preserve"> determines how closely points can be packed together</w:t>
      </w:r>
      <w:r w:rsidR="00EC492E">
        <w:rPr>
          <w:rFonts w:ascii="Times New Roman" w:hAnsi="Times New Roman"/>
        </w:rPr>
        <w:t xml:space="preserve">, was used. From the visualization of the resulting variables, </w:t>
      </w:r>
      <w:r w:rsidR="00EC492E" w:rsidRPr="00887418">
        <w:rPr>
          <w:rFonts w:ascii="Times New Roman" w:hAnsi="Times New Roman"/>
        </w:rPr>
        <w:t>min-</w:t>
      </w:r>
      <w:proofErr w:type="spellStart"/>
      <w:r w:rsidR="00EC492E" w:rsidRPr="00887418">
        <w:rPr>
          <w:rFonts w:ascii="Times New Roman" w:hAnsi="Times New Roman"/>
        </w:rPr>
        <w:t>dist</w:t>
      </w:r>
      <w:proofErr w:type="spellEnd"/>
      <w:r w:rsidR="00EC492E">
        <w:rPr>
          <w:rFonts w:ascii="Times New Roman" w:hAnsi="Times New Roman"/>
        </w:rPr>
        <w:t>=0 can provide the most identifiable structure for clustering.</w:t>
      </w:r>
    </w:p>
    <w:p w14:paraId="35CB72C7" w14:textId="5003C2E7" w:rsidR="00887418" w:rsidRDefault="00EC492E" w:rsidP="00BA1D25">
      <w:pPr>
        <w:rPr>
          <w:rFonts w:ascii="Times New Roman" w:hAnsi="Times New Roman"/>
        </w:rPr>
      </w:pPr>
      <w:r>
        <w:rPr>
          <w:noProof/>
        </w:rPr>
        <w:drawing>
          <wp:inline distT="0" distB="0" distL="0" distR="0" wp14:anchorId="050E130A" wp14:editId="22EF8D66">
            <wp:extent cx="2733152" cy="2249493"/>
            <wp:effectExtent l="0" t="0" r="0" b="0"/>
            <wp:docPr id="2" name="Picture 2" descr="A picture containing text, map,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screenshot,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4663" cy="2267198"/>
                    </a:xfrm>
                    <a:prstGeom prst="rect">
                      <a:avLst/>
                    </a:prstGeom>
                    <a:noFill/>
                    <a:ln>
                      <a:noFill/>
                    </a:ln>
                  </pic:spPr>
                </pic:pic>
              </a:graphicData>
            </a:graphic>
          </wp:inline>
        </w:drawing>
      </w:r>
    </w:p>
    <w:p w14:paraId="1EDA50D5" w14:textId="755409FF" w:rsidR="00EC492E" w:rsidRPr="00887418" w:rsidRDefault="00EC492E" w:rsidP="00BA1D25">
      <w:pPr>
        <w:pStyle w:val="Caption"/>
        <w:rPr>
          <w:rFonts w:ascii="Times New Roman" w:hAnsi="Times New Roman"/>
          <w:i w:val="0"/>
          <w:iCs w:val="0"/>
        </w:rPr>
      </w:pPr>
      <w:r w:rsidRPr="00887418">
        <w:rPr>
          <w:rFonts w:ascii="Times New Roman" w:hAnsi="Times New Roman"/>
          <w:i w:val="0"/>
          <w:iCs w:val="0"/>
        </w:rPr>
        <w:t xml:space="preserve">UMAP, </w:t>
      </w:r>
      <w:r w:rsidR="00AA6052" w:rsidRPr="00887418">
        <w:rPr>
          <w:rFonts w:ascii="Times New Roman" w:hAnsi="Times New Roman"/>
          <w:i w:val="0"/>
          <w:iCs w:val="0"/>
        </w:rPr>
        <w:t>neighbours</w:t>
      </w:r>
      <w:r w:rsidRPr="00887418">
        <w:rPr>
          <w:rFonts w:ascii="Times New Roman" w:hAnsi="Times New Roman"/>
          <w:i w:val="0"/>
          <w:iCs w:val="0"/>
        </w:rPr>
        <w:t xml:space="preserve">=20, </w:t>
      </w:r>
      <w:proofErr w:type="spellStart"/>
      <w:r w:rsidRPr="00887418">
        <w:rPr>
          <w:rFonts w:ascii="Times New Roman" w:hAnsi="Times New Roman"/>
          <w:i w:val="0"/>
          <w:iCs w:val="0"/>
        </w:rPr>
        <w:t>min_dist</w:t>
      </w:r>
      <w:proofErr w:type="spellEnd"/>
      <w:r w:rsidRPr="00887418">
        <w:rPr>
          <w:rFonts w:ascii="Times New Roman" w:hAnsi="Times New Roman"/>
          <w:i w:val="0"/>
          <w:iCs w:val="0"/>
        </w:rPr>
        <w:t>=0.</w:t>
      </w:r>
      <w:r>
        <w:rPr>
          <w:rFonts w:ascii="Times New Roman" w:hAnsi="Times New Roman"/>
          <w:i w:val="0"/>
          <w:iCs w:val="0"/>
        </w:rPr>
        <w:t>0</w:t>
      </w:r>
    </w:p>
    <w:p w14:paraId="5A074193" w14:textId="63A62E24" w:rsidR="008D2C06" w:rsidRDefault="00EC492E" w:rsidP="00BA1D25">
      <w:pPr>
        <w:rPr>
          <w:rFonts w:ascii="Times New Roman" w:hAnsi="Times New Roman"/>
        </w:rPr>
      </w:pPr>
      <w:r>
        <w:rPr>
          <w:rFonts w:ascii="Times New Roman" w:hAnsi="Times New Roman"/>
        </w:rPr>
        <w:lastRenderedPageBreak/>
        <w:t>Finally, Gaussian Mixture Model was used for clustering</w:t>
      </w:r>
      <w:r w:rsidR="00136A09">
        <w:rPr>
          <w:rFonts w:ascii="Times New Roman" w:hAnsi="Times New Roman"/>
        </w:rPr>
        <w:t>,</w:t>
      </w:r>
      <w:r>
        <w:rPr>
          <w:rFonts w:ascii="Times New Roman" w:hAnsi="Times New Roman"/>
        </w:rPr>
        <w:t xml:space="preserve"> and the hyperparameter to be optimized was the number of clusters. Number of clusters from 1 to 10 were tested, and the average </w:t>
      </w:r>
      <w:r w:rsidRPr="00EC492E">
        <w:rPr>
          <w:rFonts w:ascii="Times New Roman" w:hAnsi="Times New Roman"/>
        </w:rPr>
        <w:t xml:space="preserve">total negative log likelihood </w:t>
      </w:r>
      <w:r>
        <w:rPr>
          <w:rFonts w:ascii="Times New Roman" w:hAnsi="Times New Roman"/>
        </w:rPr>
        <w:t xml:space="preserve">from the </w:t>
      </w:r>
      <w:r w:rsidRPr="00EC492E">
        <w:rPr>
          <w:rFonts w:ascii="Times New Roman" w:hAnsi="Times New Roman"/>
        </w:rPr>
        <w:t>validation set</w:t>
      </w:r>
      <w:r>
        <w:rPr>
          <w:rFonts w:ascii="Times New Roman" w:hAnsi="Times New Roman"/>
        </w:rPr>
        <w:t>s (k-fold cross validation was used) at each number of clusters was plotted to find the elbow point.</w:t>
      </w:r>
    </w:p>
    <w:p w14:paraId="1008E7EA" w14:textId="089DD061" w:rsidR="00EC492E" w:rsidRDefault="00EC492E" w:rsidP="00BA1D25">
      <w:pPr>
        <w:rPr>
          <w:rFonts w:ascii="Times New Roman" w:hAnsi="Times New Roman"/>
        </w:rPr>
      </w:pPr>
      <w:r>
        <w:rPr>
          <w:noProof/>
        </w:rPr>
        <w:drawing>
          <wp:inline distT="0" distB="0" distL="0" distR="0" wp14:anchorId="294FDBB4" wp14:editId="4B73793D">
            <wp:extent cx="2803490" cy="2231822"/>
            <wp:effectExtent l="0" t="0" r="0" b="0"/>
            <wp:docPr id="4"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iagram, plot,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041" cy="2238629"/>
                    </a:xfrm>
                    <a:prstGeom prst="rect">
                      <a:avLst/>
                    </a:prstGeom>
                    <a:noFill/>
                    <a:ln>
                      <a:noFill/>
                    </a:ln>
                  </pic:spPr>
                </pic:pic>
              </a:graphicData>
            </a:graphic>
          </wp:inline>
        </w:drawing>
      </w:r>
    </w:p>
    <w:p w14:paraId="1986336C" w14:textId="51ECABD5" w:rsidR="00EC492E" w:rsidRDefault="00EC492E" w:rsidP="00BA1D25">
      <w:pPr>
        <w:rPr>
          <w:rFonts w:ascii="Times New Roman" w:hAnsi="Times New Roman"/>
        </w:rPr>
      </w:pPr>
      <w:r>
        <w:rPr>
          <w:rFonts w:ascii="Times New Roman" w:hAnsi="Times New Roman"/>
        </w:rPr>
        <w:t xml:space="preserve">It was seen that the decrease of average </w:t>
      </w:r>
      <w:r w:rsidRPr="00EC492E">
        <w:rPr>
          <w:rFonts w:ascii="Times New Roman" w:hAnsi="Times New Roman"/>
        </w:rPr>
        <w:t>total negative log likelihood</w:t>
      </w:r>
      <w:r>
        <w:rPr>
          <w:rFonts w:ascii="Times New Roman" w:hAnsi="Times New Roman"/>
        </w:rPr>
        <w:t xml:space="preserve"> slighted slowed down after n=4, so 4 was chosen as the optimal number of clusters for UMAP.</w:t>
      </w:r>
    </w:p>
    <w:p w14:paraId="561ED020" w14:textId="6C50C7AE" w:rsidR="00EC492E" w:rsidRPr="00136A09" w:rsidRDefault="00C21298" w:rsidP="00BA1D25">
      <w:pPr>
        <w:rPr>
          <w:rFonts w:ascii="Times New Roman" w:hAnsi="Times New Roman"/>
          <w:u w:val="single"/>
        </w:rPr>
      </w:pPr>
      <w:r w:rsidRPr="00136A09">
        <w:rPr>
          <w:rFonts w:ascii="Times New Roman" w:hAnsi="Times New Roman"/>
          <w:u w:val="single"/>
        </w:rPr>
        <w:t>t-SNE</w:t>
      </w:r>
    </w:p>
    <w:p w14:paraId="5DA736E5" w14:textId="6C3FB585" w:rsidR="00C21298" w:rsidRDefault="00C21298" w:rsidP="00BA1D25">
      <w:pPr>
        <w:rPr>
          <w:rFonts w:ascii="Times New Roman" w:hAnsi="Times New Roman"/>
        </w:rPr>
      </w:pPr>
      <w:r>
        <w:rPr>
          <w:rFonts w:ascii="Times New Roman" w:hAnsi="Times New Roman"/>
        </w:rPr>
        <w:t xml:space="preserve">There was one hyperparameter to be optimized: </w:t>
      </w:r>
      <w:r w:rsidRPr="00C21298">
        <w:rPr>
          <w:rFonts w:ascii="Times New Roman" w:hAnsi="Times New Roman"/>
        </w:rPr>
        <w:t>perplexity</w:t>
      </w:r>
      <w:r>
        <w:rPr>
          <w:rFonts w:ascii="Times New Roman" w:hAnsi="Times New Roman"/>
        </w:rPr>
        <w:t>, which</w:t>
      </w:r>
      <w:r w:rsidRPr="00C21298">
        <w:rPr>
          <w:rFonts w:ascii="Times New Roman" w:hAnsi="Times New Roman"/>
        </w:rPr>
        <w:t xml:space="preserve"> can be interpreted as a smooth measure of the effective</w:t>
      </w:r>
      <w:r>
        <w:rPr>
          <w:rFonts w:ascii="Times New Roman" w:hAnsi="Times New Roman"/>
        </w:rPr>
        <w:t xml:space="preserve"> </w:t>
      </w:r>
      <w:r w:rsidRPr="00C21298">
        <w:rPr>
          <w:rFonts w:ascii="Times New Roman" w:hAnsi="Times New Roman"/>
        </w:rPr>
        <w:t>number of neighbours.</w:t>
      </w:r>
    </w:p>
    <w:p w14:paraId="4C631848" w14:textId="23297731" w:rsidR="00157126" w:rsidRDefault="00BD454B" w:rsidP="00BA1D25">
      <w:pPr>
        <w:rPr>
          <w:rFonts w:ascii="Times New Roman" w:hAnsi="Times New Roman"/>
        </w:rPr>
      </w:pPr>
      <w:r>
        <w:rPr>
          <w:rFonts w:ascii="Times New Roman" w:hAnsi="Times New Roman"/>
        </w:rPr>
        <w:t>A</w:t>
      </w:r>
      <w:r w:rsidR="00C21298">
        <w:rPr>
          <w:rFonts w:ascii="Times New Roman" w:hAnsi="Times New Roman"/>
        </w:rPr>
        <w:t xml:space="preserve"> list of </w:t>
      </w:r>
      <w:r w:rsidRPr="00C21298">
        <w:rPr>
          <w:rFonts w:ascii="Times New Roman" w:hAnsi="Times New Roman"/>
        </w:rPr>
        <w:t>perplexity</w:t>
      </w:r>
      <w:r w:rsidRPr="00887418">
        <w:rPr>
          <w:rFonts w:ascii="Times New Roman" w:hAnsi="Times New Roman"/>
        </w:rPr>
        <w:t xml:space="preserve"> </w:t>
      </w:r>
      <w:r w:rsidR="00C21298" w:rsidRPr="00887418">
        <w:rPr>
          <w:rFonts w:ascii="Times New Roman" w:hAnsi="Times New Roman"/>
        </w:rPr>
        <w:t>(</w:t>
      </w:r>
      <w:r w:rsidRPr="00BD454B">
        <w:rPr>
          <w:rFonts w:ascii="Times New Roman" w:hAnsi="Times New Roman"/>
        </w:rPr>
        <w:t>2,</w:t>
      </w:r>
      <w:r>
        <w:rPr>
          <w:rFonts w:ascii="Times New Roman" w:hAnsi="Times New Roman"/>
        </w:rPr>
        <w:t xml:space="preserve"> </w:t>
      </w:r>
      <w:r w:rsidRPr="00BD454B">
        <w:rPr>
          <w:rFonts w:ascii="Times New Roman" w:hAnsi="Times New Roman"/>
        </w:rPr>
        <w:t>5,</w:t>
      </w:r>
      <w:r>
        <w:rPr>
          <w:rFonts w:ascii="Times New Roman" w:hAnsi="Times New Roman"/>
        </w:rPr>
        <w:t xml:space="preserve"> </w:t>
      </w:r>
      <w:r w:rsidRPr="00BD454B">
        <w:rPr>
          <w:rFonts w:ascii="Times New Roman" w:hAnsi="Times New Roman"/>
        </w:rPr>
        <w:t>10,</w:t>
      </w:r>
      <w:r>
        <w:rPr>
          <w:rFonts w:ascii="Times New Roman" w:hAnsi="Times New Roman"/>
        </w:rPr>
        <w:t xml:space="preserve"> </w:t>
      </w:r>
      <w:r w:rsidRPr="00BD454B">
        <w:rPr>
          <w:rFonts w:ascii="Times New Roman" w:hAnsi="Times New Roman"/>
        </w:rPr>
        <w:t>15,</w:t>
      </w:r>
      <w:r>
        <w:rPr>
          <w:rFonts w:ascii="Times New Roman" w:hAnsi="Times New Roman"/>
        </w:rPr>
        <w:t xml:space="preserve"> </w:t>
      </w:r>
      <w:r w:rsidRPr="00BD454B">
        <w:rPr>
          <w:rFonts w:ascii="Times New Roman" w:hAnsi="Times New Roman"/>
        </w:rPr>
        <w:t>20,</w:t>
      </w:r>
      <w:r>
        <w:rPr>
          <w:rFonts w:ascii="Times New Roman" w:hAnsi="Times New Roman"/>
        </w:rPr>
        <w:t xml:space="preserve"> </w:t>
      </w:r>
      <w:r w:rsidRPr="00BD454B">
        <w:rPr>
          <w:rFonts w:ascii="Times New Roman" w:hAnsi="Times New Roman"/>
        </w:rPr>
        <w:t>25,</w:t>
      </w:r>
      <w:r>
        <w:rPr>
          <w:rFonts w:ascii="Times New Roman" w:hAnsi="Times New Roman"/>
        </w:rPr>
        <w:t xml:space="preserve"> </w:t>
      </w:r>
      <w:r w:rsidRPr="00BD454B">
        <w:rPr>
          <w:rFonts w:ascii="Times New Roman" w:hAnsi="Times New Roman"/>
        </w:rPr>
        <w:t>30,</w:t>
      </w:r>
      <w:r>
        <w:rPr>
          <w:rFonts w:ascii="Times New Roman" w:hAnsi="Times New Roman"/>
        </w:rPr>
        <w:t xml:space="preserve"> </w:t>
      </w:r>
      <w:r w:rsidRPr="00BD454B">
        <w:rPr>
          <w:rFonts w:ascii="Times New Roman" w:hAnsi="Times New Roman"/>
        </w:rPr>
        <w:t>35,</w:t>
      </w:r>
      <w:r>
        <w:rPr>
          <w:rFonts w:ascii="Times New Roman" w:hAnsi="Times New Roman"/>
        </w:rPr>
        <w:t xml:space="preserve"> </w:t>
      </w:r>
      <w:r w:rsidRPr="00BD454B">
        <w:rPr>
          <w:rFonts w:ascii="Times New Roman" w:hAnsi="Times New Roman"/>
        </w:rPr>
        <w:t>40,</w:t>
      </w:r>
      <w:r>
        <w:rPr>
          <w:rFonts w:ascii="Times New Roman" w:hAnsi="Times New Roman"/>
        </w:rPr>
        <w:t xml:space="preserve"> </w:t>
      </w:r>
      <w:r w:rsidRPr="00BD454B">
        <w:rPr>
          <w:rFonts w:ascii="Times New Roman" w:hAnsi="Times New Roman"/>
        </w:rPr>
        <w:t>45,</w:t>
      </w:r>
      <w:r>
        <w:rPr>
          <w:rFonts w:ascii="Times New Roman" w:hAnsi="Times New Roman"/>
        </w:rPr>
        <w:t xml:space="preserve"> </w:t>
      </w:r>
      <w:r w:rsidRPr="00BD454B">
        <w:rPr>
          <w:rFonts w:ascii="Times New Roman" w:hAnsi="Times New Roman"/>
        </w:rPr>
        <w:t>50</w:t>
      </w:r>
      <w:r w:rsidR="00C21298" w:rsidRPr="00887418">
        <w:rPr>
          <w:rFonts w:ascii="Times New Roman" w:hAnsi="Times New Roman"/>
        </w:rPr>
        <w:t>)</w:t>
      </w:r>
      <w:r w:rsidR="00C21298">
        <w:rPr>
          <w:rFonts w:ascii="Times New Roman" w:hAnsi="Times New Roman"/>
        </w:rPr>
        <w:t xml:space="preserve"> was used to conduct </w:t>
      </w:r>
      <w:r w:rsidR="00157126">
        <w:rPr>
          <w:rFonts w:ascii="Times New Roman" w:hAnsi="Times New Roman"/>
        </w:rPr>
        <w:t xml:space="preserve">t-SNE. From the visualization of the resulting variables, </w:t>
      </w:r>
      <w:r w:rsidR="00157126" w:rsidRPr="00C21298">
        <w:rPr>
          <w:rFonts w:ascii="Times New Roman" w:hAnsi="Times New Roman"/>
        </w:rPr>
        <w:t>perplexity</w:t>
      </w:r>
      <w:r w:rsidR="00157126">
        <w:rPr>
          <w:rFonts w:ascii="Times New Roman" w:hAnsi="Times New Roman"/>
        </w:rPr>
        <w:t>=15 can provide the most identifiable structure for clustering.</w:t>
      </w:r>
    </w:p>
    <w:p w14:paraId="4E884C8E" w14:textId="05F6954A" w:rsidR="00BD454B" w:rsidRDefault="00BD454B" w:rsidP="00BA1D25">
      <w:pPr>
        <w:rPr>
          <w:rFonts w:ascii="Times New Roman" w:hAnsi="Times New Roman"/>
        </w:rPr>
      </w:pPr>
      <w:r>
        <w:rPr>
          <w:noProof/>
        </w:rPr>
        <w:drawing>
          <wp:inline distT="0" distB="0" distL="0" distR="0" wp14:anchorId="6047DB22" wp14:editId="38898299">
            <wp:extent cx="2783393" cy="2170523"/>
            <wp:effectExtent l="0" t="0" r="0" b="1270"/>
            <wp:docPr id="7" name="Picture 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9241" cy="2175084"/>
                    </a:xfrm>
                    <a:prstGeom prst="rect">
                      <a:avLst/>
                    </a:prstGeom>
                    <a:noFill/>
                    <a:ln>
                      <a:noFill/>
                    </a:ln>
                  </pic:spPr>
                </pic:pic>
              </a:graphicData>
            </a:graphic>
          </wp:inline>
        </w:drawing>
      </w:r>
    </w:p>
    <w:p w14:paraId="0E1FC2C4" w14:textId="3A5F12D3" w:rsidR="00C21298" w:rsidRPr="00887418" w:rsidRDefault="00157126" w:rsidP="00BA1D25">
      <w:pPr>
        <w:pStyle w:val="Caption"/>
        <w:rPr>
          <w:rFonts w:ascii="Times New Roman" w:hAnsi="Times New Roman"/>
          <w:i w:val="0"/>
          <w:iCs w:val="0"/>
        </w:rPr>
      </w:pPr>
      <w:r>
        <w:rPr>
          <w:rFonts w:ascii="Times New Roman" w:hAnsi="Times New Roman"/>
          <w:i w:val="0"/>
          <w:iCs w:val="0"/>
        </w:rPr>
        <w:t>t-SNE</w:t>
      </w:r>
      <w:r w:rsidR="00C21298" w:rsidRPr="00887418">
        <w:rPr>
          <w:rFonts w:ascii="Times New Roman" w:hAnsi="Times New Roman"/>
          <w:i w:val="0"/>
          <w:iCs w:val="0"/>
        </w:rPr>
        <w:t xml:space="preserve">, </w:t>
      </w:r>
      <w:r w:rsidRPr="00157126">
        <w:rPr>
          <w:rFonts w:ascii="Times New Roman" w:hAnsi="Times New Roman"/>
          <w:i w:val="0"/>
          <w:iCs w:val="0"/>
        </w:rPr>
        <w:t>perplexity=15</w:t>
      </w:r>
    </w:p>
    <w:p w14:paraId="7DB6D280" w14:textId="6E809596" w:rsidR="00157126" w:rsidRDefault="00157126" w:rsidP="00BA1D25">
      <w:pPr>
        <w:rPr>
          <w:rFonts w:ascii="Times New Roman" w:hAnsi="Times New Roman"/>
        </w:rPr>
      </w:pPr>
      <w:r>
        <w:rPr>
          <w:rFonts w:ascii="Times New Roman" w:hAnsi="Times New Roman"/>
        </w:rPr>
        <w:t xml:space="preserve">Then number of clusters from 1 to 10 were tested to find the optimal number of clusters for </w:t>
      </w:r>
      <w:r w:rsidRPr="00157126">
        <w:rPr>
          <w:rFonts w:ascii="Times New Roman" w:hAnsi="Times New Roman"/>
        </w:rPr>
        <w:t>Gaussian Mixture Model</w:t>
      </w:r>
      <w:r>
        <w:rPr>
          <w:rFonts w:ascii="Times New Roman" w:hAnsi="Times New Roman"/>
        </w:rPr>
        <w:t xml:space="preserve">. From the plot of average </w:t>
      </w:r>
      <w:r w:rsidRPr="00EC492E">
        <w:rPr>
          <w:rFonts w:ascii="Times New Roman" w:hAnsi="Times New Roman"/>
        </w:rPr>
        <w:t xml:space="preserve">total negative log likelihood </w:t>
      </w:r>
      <w:r>
        <w:rPr>
          <w:rFonts w:ascii="Times New Roman" w:hAnsi="Times New Roman"/>
        </w:rPr>
        <w:t xml:space="preserve">from the </w:t>
      </w:r>
      <w:r w:rsidRPr="00EC492E">
        <w:rPr>
          <w:rFonts w:ascii="Times New Roman" w:hAnsi="Times New Roman"/>
        </w:rPr>
        <w:t>validation set</w:t>
      </w:r>
      <w:r>
        <w:rPr>
          <w:rFonts w:ascii="Times New Roman" w:hAnsi="Times New Roman"/>
        </w:rPr>
        <w:t xml:space="preserve">s (k-fold cross validation was used) at each number of clusters, it was observed that n=4 and 6 were the potential elbow points. Since 6 clusters </w:t>
      </w:r>
      <w:r w:rsidR="00EC6B20">
        <w:rPr>
          <w:rFonts w:ascii="Times New Roman" w:hAnsi="Times New Roman"/>
        </w:rPr>
        <w:t>might</w:t>
      </w:r>
      <w:r>
        <w:rPr>
          <w:rFonts w:ascii="Times New Roman" w:hAnsi="Times New Roman"/>
        </w:rPr>
        <w:t xml:space="preserve"> be too many for analysis, number of clusters=4 was selected for the </w:t>
      </w:r>
      <w:r w:rsidRPr="00157126">
        <w:rPr>
          <w:rFonts w:ascii="Times New Roman" w:hAnsi="Times New Roman"/>
        </w:rPr>
        <w:t>Gaussian Mixture Model</w:t>
      </w:r>
      <w:r w:rsidR="00EC6B20">
        <w:rPr>
          <w:rFonts w:ascii="Times New Roman" w:hAnsi="Times New Roman"/>
        </w:rPr>
        <w:t>.</w:t>
      </w:r>
    </w:p>
    <w:p w14:paraId="1C960A1A" w14:textId="425DAC8C" w:rsidR="00EC492E" w:rsidRDefault="00157126" w:rsidP="00BA1D25">
      <w:pPr>
        <w:rPr>
          <w:rFonts w:ascii="Times New Roman" w:hAnsi="Times New Roman"/>
        </w:rPr>
      </w:pPr>
      <w:r>
        <w:rPr>
          <w:noProof/>
        </w:rPr>
        <w:lastRenderedPageBreak/>
        <w:drawing>
          <wp:inline distT="0" distB="0" distL="0" distR="0" wp14:anchorId="0976000F" wp14:editId="298E04E3">
            <wp:extent cx="2622620" cy="2087834"/>
            <wp:effectExtent l="0" t="0" r="6350" b="8255"/>
            <wp:docPr id="8" name="Picture 8"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diagram, line, plo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9029" cy="2100897"/>
                    </a:xfrm>
                    <a:prstGeom prst="rect">
                      <a:avLst/>
                    </a:prstGeom>
                    <a:noFill/>
                    <a:ln>
                      <a:noFill/>
                    </a:ln>
                  </pic:spPr>
                </pic:pic>
              </a:graphicData>
            </a:graphic>
          </wp:inline>
        </w:drawing>
      </w:r>
    </w:p>
    <w:p w14:paraId="7F49C9D5" w14:textId="7B7DEFE1" w:rsidR="00157126" w:rsidRDefault="00654845" w:rsidP="00BA1D25">
      <w:pPr>
        <w:rPr>
          <w:rFonts w:ascii="Times New Roman" w:hAnsi="Times New Roman"/>
        </w:rPr>
      </w:pPr>
      <w:r>
        <w:rPr>
          <w:rFonts w:ascii="Times New Roman" w:hAnsi="Times New Roman"/>
        </w:rPr>
        <w:t xml:space="preserve">It was observed the resulting clustering from  t-SNE method (left figure) looked similar to the clustering from UMAP method (right figure). </w:t>
      </w:r>
      <w:r w:rsidR="0092740F">
        <w:rPr>
          <w:rFonts w:ascii="Times New Roman" w:hAnsi="Times New Roman"/>
        </w:rPr>
        <w:t>A 180-degree rotation could make the positions of clusters from one method coincide with the position of clusters from another method.</w:t>
      </w:r>
    </w:p>
    <w:p w14:paraId="40B2FDA9" w14:textId="1EEDAA4A" w:rsidR="00654845" w:rsidRDefault="00654845" w:rsidP="00BA1D25">
      <w:pPr>
        <w:rPr>
          <w:rFonts w:ascii="Times New Roman" w:hAnsi="Times New Roman"/>
        </w:rPr>
      </w:pPr>
      <w:r>
        <w:rPr>
          <w:noProof/>
        </w:rPr>
        <w:drawing>
          <wp:anchor distT="0" distB="0" distL="114300" distR="114300" simplePos="0" relativeHeight="251658240" behindDoc="0" locked="0" layoutInCell="1" allowOverlap="1" wp14:anchorId="18ABA5AA" wp14:editId="61B8D9B2">
            <wp:simplePos x="0" y="0"/>
            <wp:positionH relativeFrom="column">
              <wp:posOffset>-32385</wp:posOffset>
            </wp:positionH>
            <wp:positionV relativeFrom="paragraph">
              <wp:posOffset>1905</wp:posOffset>
            </wp:positionV>
            <wp:extent cx="2713990" cy="2286000"/>
            <wp:effectExtent l="0" t="0" r="0" b="0"/>
            <wp:wrapSquare wrapText="bothSides"/>
            <wp:docPr id="9" name="Picture 9"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creenshot, colorfulnes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990"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E207C7D" wp14:editId="46C78B34">
            <wp:extent cx="2609601" cy="2286000"/>
            <wp:effectExtent l="0" t="0" r="635" b="0"/>
            <wp:docPr id="10" name="Picture 10" descr="A picture containing map,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ap, screenshot,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1735" cy="2296629"/>
                    </a:xfrm>
                    <a:prstGeom prst="rect">
                      <a:avLst/>
                    </a:prstGeom>
                    <a:noFill/>
                    <a:ln>
                      <a:noFill/>
                    </a:ln>
                  </pic:spPr>
                </pic:pic>
              </a:graphicData>
            </a:graphic>
          </wp:inline>
        </w:drawing>
      </w:r>
    </w:p>
    <w:p w14:paraId="2DBA2239" w14:textId="73B163C9" w:rsidR="00654845" w:rsidRPr="00887418" w:rsidRDefault="00654845" w:rsidP="00BA1D25">
      <w:pPr>
        <w:pStyle w:val="Caption"/>
        <w:rPr>
          <w:rFonts w:ascii="Times New Roman" w:hAnsi="Times New Roman"/>
          <w:i w:val="0"/>
          <w:iCs w:val="0"/>
        </w:rPr>
      </w:pPr>
      <w:r>
        <w:rPr>
          <w:rFonts w:ascii="Times New Roman" w:hAnsi="Times New Roman"/>
          <w:i w:val="0"/>
          <w:iCs w:val="0"/>
        </w:rPr>
        <w:t>t-SNE</w:t>
      </w:r>
      <w:r w:rsidRPr="00887418">
        <w:rPr>
          <w:rFonts w:ascii="Times New Roman" w:hAnsi="Times New Roman"/>
          <w:i w:val="0"/>
          <w:iCs w:val="0"/>
        </w:rPr>
        <w:t xml:space="preserve">, </w:t>
      </w:r>
      <w:r w:rsidRPr="00157126">
        <w:rPr>
          <w:rFonts w:ascii="Times New Roman" w:hAnsi="Times New Roman"/>
          <w:i w:val="0"/>
          <w:iCs w:val="0"/>
        </w:rPr>
        <w:t>perplexity=15</w:t>
      </w:r>
      <w:r>
        <w:rPr>
          <w:rFonts w:ascii="Times New Roman" w:hAnsi="Times New Roman"/>
          <w:i w:val="0"/>
          <w:iCs w:val="0"/>
        </w:rPr>
        <w:t>, number of clusters=4</w:t>
      </w:r>
      <w:r>
        <w:rPr>
          <w:rFonts w:ascii="Times New Roman" w:hAnsi="Times New Roman"/>
          <w:i w:val="0"/>
          <w:iCs w:val="0"/>
        </w:rPr>
        <w:tab/>
      </w:r>
      <w:r>
        <w:rPr>
          <w:rFonts w:ascii="Times New Roman" w:hAnsi="Times New Roman"/>
          <w:i w:val="0"/>
          <w:iCs w:val="0"/>
        </w:rPr>
        <w:tab/>
      </w:r>
      <w:r w:rsidRPr="00887418">
        <w:rPr>
          <w:rFonts w:ascii="Times New Roman" w:hAnsi="Times New Roman"/>
          <w:i w:val="0"/>
          <w:iCs w:val="0"/>
        </w:rPr>
        <w:t xml:space="preserve">UMAP, </w:t>
      </w:r>
      <w:r w:rsidR="00AA6052" w:rsidRPr="00887418">
        <w:rPr>
          <w:rFonts w:ascii="Times New Roman" w:hAnsi="Times New Roman"/>
          <w:i w:val="0"/>
          <w:iCs w:val="0"/>
        </w:rPr>
        <w:t>neighbours</w:t>
      </w:r>
      <w:r w:rsidRPr="00887418">
        <w:rPr>
          <w:rFonts w:ascii="Times New Roman" w:hAnsi="Times New Roman"/>
          <w:i w:val="0"/>
          <w:iCs w:val="0"/>
        </w:rPr>
        <w:t xml:space="preserve">=20, </w:t>
      </w:r>
      <w:proofErr w:type="spellStart"/>
      <w:r w:rsidRPr="00887418">
        <w:rPr>
          <w:rFonts w:ascii="Times New Roman" w:hAnsi="Times New Roman"/>
          <w:i w:val="0"/>
          <w:iCs w:val="0"/>
        </w:rPr>
        <w:t>min_dist</w:t>
      </w:r>
      <w:proofErr w:type="spellEnd"/>
      <w:r w:rsidRPr="00887418">
        <w:rPr>
          <w:rFonts w:ascii="Times New Roman" w:hAnsi="Times New Roman"/>
          <w:i w:val="0"/>
          <w:iCs w:val="0"/>
        </w:rPr>
        <w:t>=0.</w:t>
      </w:r>
      <w:r>
        <w:rPr>
          <w:rFonts w:ascii="Times New Roman" w:hAnsi="Times New Roman"/>
          <w:i w:val="0"/>
          <w:iCs w:val="0"/>
        </w:rPr>
        <w:t>0, number of clusters=4</w:t>
      </w:r>
    </w:p>
    <w:p w14:paraId="39DF1D63" w14:textId="4D8FA52B" w:rsidR="00C21298" w:rsidRPr="00372E74" w:rsidRDefault="00F73D29" w:rsidP="00BA1D25">
      <w:pPr>
        <w:rPr>
          <w:rFonts w:ascii="Times New Roman" w:hAnsi="Times New Roman"/>
          <w:u w:val="single"/>
        </w:rPr>
      </w:pPr>
      <w:r w:rsidRPr="00372E74">
        <w:rPr>
          <w:rFonts w:ascii="Times New Roman" w:hAnsi="Times New Roman"/>
          <w:u w:val="single"/>
        </w:rPr>
        <w:t>UMAP vs</w:t>
      </w:r>
      <w:r w:rsidR="00372E74" w:rsidRPr="00372E74">
        <w:rPr>
          <w:rFonts w:ascii="Times New Roman" w:hAnsi="Times New Roman"/>
          <w:u w:val="single"/>
        </w:rPr>
        <w:t>.</w:t>
      </w:r>
      <w:r w:rsidRPr="00372E74">
        <w:rPr>
          <w:rFonts w:ascii="Times New Roman" w:hAnsi="Times New Roman"/>
          <w:u w:val="single"/>
        </w:rPr>
        <w:t xml:space="preserve"> t-SNE</w:t>
      </w:r>
    </w:p>
    <w:tbl>
      <w:tblPr>
        <w:tblW w:w="5760" w:type="dxa"/>
        <w:tblLook w:val="04A0" w:firstRow="1" w:lastRow="0" w:firstColumn="1" w:lastColumn="0" w:noHBand="0" w:noVBand="1"/>
      </w:tblPr>
      <w:tblGrid>
        <w:gridCol w:w="960"/>
        <w:gridCol w:w="960"/>
        <w:gridCol w:w="960"/>
        <w:gridCol w:w="960"/>
        <w:gridCol w:w="960"/>
        <w:gridCol w:w="960"/>
      </w:tblGrid>
      <w:tr w:rsidR="00F73D29" w:rsidRPr="00F73D29" w14:paraId="5434DE3D" w14:textId="77777777" w:rsidTr="00F73D29">
        <w:trPr>
          <w:trHeight w:val="63"/>
        </w:trPr>
        <w:tc>
          <w:tcPr>
            <w:tcW w:w="960" w:type="dxa"/>
            <w:tcBorders>
              <w:top w:val="nil"/>
              <w:left w:val="nil"/>
              <w:bottom w:val="nil"/>
              <w:right w:val="nil"/>
            </w:tcBorders>
            <w:shd w:val="clear" w:color="auto" w:fill="auto"/>
            <w:noWrap/>
            <w:vAlign w:val="center"/>
            <w:hideMark/>
          </w:tcPr>
          <w:p w14:paraId="48B84E60" w14:textId="77777777" w:rsidR="00F73D29" w:rsidRPr="00F73D29" w:rsidRDefault="00F73D29" w:rsidP="00BA1D25">
            <w:pPr>
              <w:spacing w:after="0"/>
              <w:rPr>
                <w:rFonts w:ascii="Times New Roman" w:eastAsia="Times New Roman" w:hAnsi="Times New Roman"/>
                <w:sz w:val="16"/>
                <w:szCs w:val="16"/>
                <w:lang w:val="en-HK"/>
              </w:rPr>
            </w:pPr>
          </w:p>
        </w:tc>
        <w:tc>
          <w:tcPr>
            <w:tcW w:w="960" w:type="dxa"/>
            <w:tcBorders>
              <w:top w:val="nil"/>
              <w:left w:val="nil"/>
              <w:bottom w:val="nil"/>
              <w:right w:val="nil"/>
            </w:tcBorders>
            <w:shd w:val="clear" w:color="auto" w:fill="auto"/>
            <w:noWrap/>
            <w:vAlign w:val="center"/>
            <w:hideMark/>
          </w:tcPr>
          <w:p w14:paraId="61A38A05" w14:textId="77777777" w:rsidR="00F73D29" w:rsidRPr="00F73D29" w:rsidRDefault="00F73D29" w:rsidP="00BA1D25">
            <w:pPr>
              <w:spacing w:after="0"/>
              <w:jc w:val="center"/>
              <w:rPr>
                <w:rFonts w:ascii="Times New Roman" w:eastAsia="Times New Roman" w:hAnsi="Times New Roman"/>
                <w:sz w:val="16"/>
                <w:szCs w:val="16"/>
                <w:lang w:val="en-HK"/>
              </w:rPr>
            </w:pPr>
          </w:p>
        </w:tc>
        <w:tc>
          <w:tcPr>
            <w:tcW w:w="384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59F2D727" w14:textId="77777777" w:rsidR="00F73D29" w:rsidRPr="00F73D29" w:rsidRDefault="00F73D29" w:rsidP="00BA1D25">
            <w:pPr>
              <w:spacing w:after="0"/>
              <w:jc w:val="center"/>
              <w:rPr>
                <w:rFonts w:ascii="Times New Roman" w:eastAsia="Times New Roman" w:hAnsi="Times New Roman"/>
                <w:b/>
                <w:bCs/>
                <w:color w:val="000000"/>
                <w:sz w:val="16"/>
                <w:szCs w:val="16"/>
                <w:lang w:val="en-HK"/>
              </w:rPr>
            </w:pPr>
            <w:r w:rsidRPr="00F73D29">
              <w:rPr>
                <w:rFonts w:ascii="Times New Roman" w:eastAsia="Times New Roman" w:hAnsi="Times New Roman"/>
                <w:b/>
                <w:bCs/>
                <w:color w:val="000000"/>
                <w:sz w:val="16"/>
                <w:szCs w:val="16"/>
                <w:lang w:val="en-HK"/>
              </w:rPr>
              <w:t>t-SNE clusters</w:t>
            </w:r>
          </w:p>
        </w:tc>
      </w:tr>
      <w:tr w:rsidR="00F73D29" w:rsidRPr="00F73D29" w14:paraId="056D63F8" w14:textId="77777777" w:rsidTr="00F73D29">
        <w:trPr>
          <w:trHeight w:val="73"/>
        </w:trPr>
        <w:tc>
          <w:tcPr>
            <w:tcW w:w="960" w:type="dxa"/>
            <w:tcBorders>
              <w:top w:val="nil"/>
              <w:left w:val="nil"/>
              <w:bottom w:val="nil"/>
              <w:right w:val="nil"/>
            </w:tcBorders>
            <w:shd w:val="clear" w:color="auto" w:fill="auto"/>
            <w:noWrap/>
            <w:vAlign w:val="center"/>
            <w:hideMark/>
          </w:tcPr>
          <w:p w14:paraId="0B3EB9A8" w14:textId="77777777" w:rsidR="00F73D29" w:rsidRPr="00F73D29" w:rsidRDefault="00F73D29" w:rsidP="00BA1D25">
            <w:pPr>
              <w:spacing w:after="0"/>
              <w:jc w:val="center"/>
              <w:rPr>
                <w:rFonts w:ascii="Times New Roman" w:eastAsia="Times New Roman" w:hAnsi="Times New Roman"/>
                <w:color w:val="000000"/>
                <w:sz w:val="16"/>
                <w:szCs w:val="16"/>
                <w:lang w:val="en-HK"/>
              </w:rPr>
            </w:pPr>
          </w:p>
        </w:tc>
        <w:tc>
          <w:tcPr>
            <w:tcW w:w="960" w:type="dxa"/>
            <w:tcBorders>
              <w:top w:val="nil"/>
              <w:left w:val="nil"/>
              <w:bottom w:val="nil"/>
              <w:right w:val="nil"/>
            </w:tcBorders>
            <w:shd w:val="clear" w:color="auto" w:fill="auto"/>
            <w:noWrap/>
            <w:vAlign w:val="center"/>
            <w:hideMark/>
          </w:tcPr>
          <w:p w14:paraId="0065204D" w14:textId="77777777" w:rsidR="00F73D29" w:rsidRPr="00F73D29" w:rsidRDefault="00F73D29" w:rsidP="00BA1D25">
            <w:pPr>
              <w:spacing w:after="0"/>
              <w:jc w:val="center"/>
              <w:rPr>
                <w:rFonts w:ascii="Times New Roman" w:eastAsia="Times New Roman" w:hAnsi="Times New Roman"/>
                <w:sz w:val="16"/>
                <w:szCs w:val="16"/>
                <w:lang w:val="en-HK"/>
              </w:rPr>
            </w:pPr>
          </w:p>
        </w:tc>
        <w:tc>
          <w:tcPr>
            <w:tcW w:w="960" w:type="dxa"/>
            <w:tcBorders>
              <w:top w:val="nil"/>
              <w:left w:val="single" w:sz="8" w:space="0" w:color="auto"/>
              <w:bottom w:val="nil"/>
              <w:right w:val="single" w:sz="4" w:space="0" w:color="auto"/>
            </w:tcBorders>
            <w:shd w:val="clear" w:color="auto" w:fill="auto"/>
            <w:noWrap/>
            <w:vAlign w:val="center"/>
            <w:hideMark/>
          </w:tcPr>
          <w:p w14:paraId="4294DB47"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0</w:t>
            </w:r>
          </w:p>
        </w:tc>
        <w:tc>
          <w:tcPr>
            <w:tcW w:w="960" w:type="dxa"/>
            <w:tcBorders>
              <w:top w:val="nil"/>
              <w:left w:val="nil"/>
              <w:bottom w:val="nil"/>
              <w:right w:val="single" w:sz="4" w:space="0" w:color="auto"/>
            </w:tcBorders>
            <w:shd w:val="clear" w:color="auto" w:fill="auto"/>
            <w:noWrap/>
            <w:vAlign w:val="center"/>
            <w:hideMark/>
          </w:tcPr>
          <w:p w14:paraId="63ACFA33"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1</w:t>
            </w:r>
          </w:p>
        </w:tc>
        <w:tc>
          <w:tcPr>
            <w:tcW w:w="960" w:type="dxa"/>
            <w:tcBorders>
              <w:top w:val="nil"/>
              <w:left w:val="nil"/>
              <w:bottom w:val="nil"/>
              <w:right w:val="single" w:sz="4" w:space="0" w:color="auto"/>
            </w:tcBorders>
            <w:shd w:val="clear" w:color="auto" w:fill="auto"/>
            <w:noWrap/>
            <w:vAlign w:val="center"/>
            <w:hideMark/>
          </w:tcPr>
          <w:p w14:paraId="7E0762B8"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2</w:t>
            </w:r>
          </w:p>
        </w:tc>
        <w:tc>
          <w:tcPr>
            <w:tcW w:w="960" w:type="dxa"/>
            <w:tcBorders>
              <w:top w:val="nil"/>
              <w:left w:val="nil"/>
              <w:bottom w:val="single" w:sz="8" w:space="0" w:color="auto"/>
              <w:right w:val="single" w:sz="8" w:space="0" w:color="auto"/>
            </w:tcBorders>
            <w:shd w:val="clear" w:color="auto" w:fill="auto"/>
            <w:noWrap/>
            <w:vAlign w:val="center"/>
            <w:hideMark/>
          </w:tcPr>
          <w:p w14:paraId="7C633822"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3</w:t>
            </w:r>
          </w:p>
        </w:tc>
      </w:tr>
      <w:tr w:rsidR="00F73D29" w:rsidRPr="00F73D29" w14:paraId="4F718020" w14:textId="77777777" w:rsidTr="00CE42AD">
        <w:trPr>
          <w:trHeight w:val="63"/>
        </w:trPr>
        <w:tc>
          <w:tcPr>
            <w:tcW w:w="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14:paraId="50A0DF0F" w14:textId="77777777" w:rsidR="00F73D29" w:rsidRPr="00F73D29" w:rsidRDefault="00F73D29" w:rsidP="00BA1D25">
            <w:pPr>
              <w:spacing w:after="0"/>
              <w:jc w:val="center"/>
              <w:rPr>
                <w:rFonts w:ascii="Times New Roman" w:eastAsia="Times New Roman" w:hAnsi="Times New Roman"/>
                <w:b/>
                <w:bCs/>
                <w:color w:val="000000"/>
                <w:sz w:val="16"/>
                <w:szCs w:val="16"/>
                <w:lang w:val="en-HK"/>
              </w:rPr>
            </w:pPr>
            <w:r w:rsidRPr="00F73D29">
              <w:rPr>
                <w:rFonts w:ascii="Times New Roman" w:eastAsia="Times New Roman" w:hAnsi="Times New Roman"/>
                <w:b/>
                <w:bCs/>
                <w:color w:val="000000"/>
                <w:sz w:val="16"/>
                <w:szCs w:val="16"/>
                <w:lang w:val="en-HK"/>
              </w:rPr>
              <w:t>UMAP clusters</w:t>
            </w:r>
          </w:p>
        </w:tc>
        <w:tc>
          <w:tcPr>
            <w:tcW w:w="960" w:type="dxa"/>
            <w:tcBorders>
              <w:top w:val="single" w:sz="8" w:space="0" w:color="auto"/>
              <w:left w:val="nil"/>
              <w:bottom w:val="single" w:sz="4" w:space="0" w:color="auto"/>
              <w:right w:val="nil"/>
            </w:tcBorders>
            <w:shd w:val="clear" w:color="auto" w:fill="auto"/>
            <w:noWrap/>
            <w:vAlign w:val="center"/>
            <w:hideMark/>
          </w:tcPr>
          <w:p w14:paraId="469A249B"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0</w:t>
            </w:r>
          </w:p>
        </w:tc>
        <w:tc>
          <w:tcPr>
            <w:tcW w:w="960" w:type="dxa"/>
            <w:tcBorders>
              <w:top w:val="single" w:sz="8" w:space="0" w:color="auto"/>
              <w:left w:val="single" w:sz="8" w:space="0" w:color="auto"/>
              <w:bottom w:val="single" w:sz="4" w:space="0" w:color="auto"/>
              <w:right w:val="single" w:sz="4" w:space="0" w:color="auto"/>
            </w:tcBorders>
            <w:shd w:val="clear" w:color="auto" w:fill="FFFF00"/>
            <w:noWrap/>
            <w:vAlign w:val="center"/>
            <w:hideMark/>
          </w:tcPr>
          <w:p w14:paraId="227B2634"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82</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69754ED6"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545E5F8D"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nil"/>
              <w:left w:val="nil"/>
              <w:bottom w:val="single" w:sz="4" w:space="0" w:color="auto"/>
              <w:right w:val="single" w:sz="8" w:space="0" w:color="auto"/>
            </w:tcBorders>
            <w:shd w:val="clear" w:color="auto" w:fill="auto"/>
            <w:noWrap/>
            <w:vAlign w:val="center"/>
            <w:hideMark/>
          </w:tcPr>
          <w:p w14:paraId="43848F12"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1</w:t>
            </w:r>
          </w:p>
        </w:tc>
      </w:tr>
      <w:tr w:rsidR="00F73D29" w:rsidRPr="00F73D29" w14:paraId="0CAB5099" w14:textId="77777777" w:rsidTr="00CE42AD">
        <w:trPr>
          <w:trHeight w:val="63"/>
        </w:trPr>
        <w:tc>
          <w:tcPr>
            <w:tcW w:w="960" w:type="dxa"/>
            <w:vMerge/>
            <w:tcBorders>
              <w:top w:val="single" w:sz="8" w:space="0" w:color="auto"/>
              <w:left w:val="single" w:sz="8" w:space="0" w:color="auto"/>
              <w:bottom w:val="single" w:sz="8" w:space="0" w:color="000000"/>
              <w:right w:val="single" w:sz="4" w:space="0" w:color="auto"/>
            </w:tcBorders>
            <w:vAlign w:val="center"/>
            <w:hideMark/>
          </w:tcPr>
          <w:p w14:paraId="504D3C9E" w14:textId="77777777" w:rsidR="00F73D29" w:rsidRPr="00F73D29" w:rsidRDefault="00F73D29" w:rsidP="00BA1D25">
            <w:pPr>
              <w:spacing w:after="0"/>
              <w:rPr>
                <w:rFonts w:ascii="Times New Roman" w:eastAsia="Times New Roman" w:hAnsi="Times New Roman"/>
                <w:color w:val="000000"/>
                <w:sz w:val="16"/>
                <w:szCs w:val="16"/>
                <w:lang w:val="en-HK"/>
              </w:rPr>
            </w:pPr>
          </w:p>
        </w:tc>
        <w:tc>
          <w:tcPr>
            <w:tcW w:w="960" w:type="dxa"/>
            <w:tcBorders>
              <w:top w:val="nil"/>
              <w:left w:val="nil"/>
              <w:bottom w:val="nil"/>
              <w:right w:val="nil"/>
            </w:tcBorders>
            <w:shd w:val="clear" w:color="auto" w:fill="auto"/>
            <w:noWrap/>
            <w:vAlign w:val="center"/>
            <w:hideMark/>
          </w:tcPr>
          <w:p w14:paraId="3E1B4FF1"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1</w:t>
            </w:r>
          </w:p>
        </w:tc>
        <w:tc>
          <w:tcPr>
            <w:tcW w:w="960" w:type="dxa"/>
            <w:tcBorders>
              <w:top w:val="nil"/>
              <w:left w:val="single" w:sz="8" w:space="0" w:color="auto"/>
              <w:bottom w:val="nil"/>
              <w:right w:val="single" w:sz="4" w:space="0" w:color="auto"/>
            </w:tcBorders>
            <w:shd w:val="clear" w:color="auto" w:fill="auto"/>
            <w:noWrap/>
            <w:vAlign w:val="center"/>
            <w:hideMark/>
          </w:tcPr>
          <w:p w14:paraId="38D6A286"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1</w:t>
            </w:r>
          </w:p>
        </w:tc>
        <w:tc>
          <w:tcPr>
            <w:tcW w:w="960" w:type="dxa"/>
            <w:tcBorders>
              <w:top w:val="nil"/>
              <w:left w:val="nil"/>
              <w:bottom w:val="nil"/>
              <w:right w:val="single" w:sz="4" w:space="0" w:color="auto"/>
            </w:tcBorders>
            <w:shd w:val="clear" w:color="auto" w:fill="FFFF00"/>
            <w:noWrap/>
            <w:vAlign w:val="center"/>
            <w:hideMark/>
          </w:tcPr>
          <w:p w14:paraId="1D25BD95"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71</w:t>
            </w:r>
          </w:p>
        </w:tc>
        <w:tc>
          <w:tcPr>
            <w:tcW w:w="960" w:type="dxa"/>
            <w:tcBorders>
              <w:top w:val="nil"/>
              <w:left w:val="nil"/>
              <w:bottom w:val="nil"/>
              <w:right w:val="single" w:sz="4" w:space="0" w:color="auto"/>
            </w:tcBorders>
            <w:shd w:val="clear" w:color="auto" w:fill="auto"/>
            <w:noWrap/>
            <w:vAlign w:val="center"/>
            <w:hideMark/>
          </w:tcPr>
          <w:p w14:paraId="4BE6BADF"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nil"/>
              <w:left w:val="nil"/>
              <w:bottom w:val="nil"/>
              <w:right w:val="single" w:sz="8" w:space="0" w:color="auto"/>
            </w:tcBorders>
            <w:shd w:val="clear" w:color="auto" w:fill="auto"/>
            <w:noWrap/>
            <w:vAlign w:val="center"/>
            <w:hideMark/>
          </w:tcPr>
          <w:p w14:paraId="6D9BCA43"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r>
      <w:tr w:rsidR="00F73D29" w:rsidRPr="00F73D29" w14:paraId="6B5185CC" w14:textId="77777777" w:rsidTr="001B5DE7">
        <w:trPr>
          <w:trHeight w:val="63"/>
        </w:trPr>
        <w:tc>
          <w:tcPr>
            <w:tcW w:w="960" w:type="dxa"/>
            <w:vMerge/>
            <w:tcBorders>
              <w:top w:val="single" w:sz="8" w:space="0" w:color="auto"/>
              <w:left w:val="single" w:sz="8" w:space="0" w:color="auto"/>
              <w:bottom w:val="single" w:sz="8" w:space="0" w:color="000000"/>
              <w:right w:val="single" w:sz="4" w:space="0" w:color="auto"/>
            </w:tcBorders>
            <w:vAlign w:val="center"/>
            <w:hideMark/>
          </w:tcPr>
          <w:p w14:paraId="233FB28F" w14:textId="77777777" w:rsidR="00F73D29" w:rsidRPr="00F73D29" w:rsidRDefault="00F73D29" w:rsidP="00BA1D25">
            <w:pPr>
              <w:spacing w:after="0"/>
              <w:rPr>
                <w:rFonts w:ascii="Times New Roman" w:eastAsia="Times New Roman" w:hAnsi="Times New Roman"/>
                <w:color w:val="000000"/>
                <w:sz w:val="16"/>
                <w:szCs w:val="16"/>
                <w:lang w:val="en-HK"/>
              </w:rPr>
            </w:pPr>
          </w:p>
        </w:tc>
        <w:tc>
          <w:tcPr>
            <w:tcW w:w="960" w:type="dxa"/>
            <w:tcBorders>
              <w:top w:val="single" w:sz="4" w:space="0" w:color="auto"/>
              <w:left w:val="nil"/>
              <w:bottom w:val="single" w:sz="4" w:space="0" w:color="auto"/>
              <w:right w:val="nil"/>
            </w:tcBorders>
            <w:shd w:val="clear" w:color="auto" w:fill="auto"/>
            <w:noWrap/>
            <w:vAlign w:val="center"/>
            <w:hideMark/>
          </w:tcPr>
          <w:p w14:paraId="5DB1DB88"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2</w:t>
            </w:r>
          </w:p>
        </w:tc>
        <w:tc>
          <w:tcPr>
            <w:tcW w:w="96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B3FEA78"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E12ACF3"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D81B854"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single" w:sz="4" w:space="0" w:color="auto"/>
              <w:left w:val="nil"/>
              <w:bottom w:val="single" w:sz="4" w:space="0" w:color="auto"/>
              <w:right w:val="single" w:sz="8" w:space="0" w:color="auto"/>
            </w:tcBorders>
            <w:shd w:val="clear" w:color="auto" w:fill="FFFF00"/>
            <w:noWrap/>
            <w:vAlign w:val="center"/>
            <w:hideMark/>
          </w:tcPr>
          <w:p w14:paraId="14891E06"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81</w:t>
            </w:r>
          </w:p>
        </w:tc>
      </w:tr>
      <w:tr w:rsidR="00F73D29" w:rsidRPr="00F73D29" w14:paraId="1509E1E2" w14:textId="77777777" w:rsidTr="00CE42AD">
        <w:trPr>
          <w:trHeight w:val="63"/>
        </w:trPr>
        <w:tc>
          <w:tcPr>
            <w:tcW w:w="960" w:type="dxa"/>
            <w:vMerge/>
            <w:tcBorders>
              <w:top w:val="single" w:sz="8" w:space="0" w:color="auto"/>
              <w:left w:val="single" w:sz="8" w:space="0" w:color="auto"/>
              <w:bottom w:val="single" w:sz="8" w:space="0" w:color="000000"/>
              <w:right w:val="single" w:sz="4" w:space="0" w:color="auto"/>
            </w:tcBorders>
            <w:vAlign w:val="center"/>
            <w:hideMark/>
          </w:tcPr>
          <w:p w14:paraId="3186D719" w14:textId="77777777" w:rsidR="00F73D29" w:rsidRPr="00F73D29" w:rsidRDefault="00F73D29" w:rsidP="00BA1D25">
            <w:pPr>
              <w:spacing w:after="0"/>
              <w:rPr>
                <w:rFonts w:ascii="Times New Roman" w:eastAsia="Times New Roman" w:hAnsi="Times New Roman"/>
                <w:color w:val="000000"/>
                <w:sz w:val="16"/>
                <w:szCs w:val="16"/>
                <w:lang w:val="en-HK"/>
              </w:rPr>
            </w:pPr>
          </w:p>
        </w:tc>
        <w:tc>
          <w:tcPr>
            <w:tcW w:w="960" w:type="dxa"/>
            <w:tcBorders>
              <w:top w:val="nil"/>
              <w:left w:val="nil"/>
              <w:bottom w:val="single" w:sz="8" w:space="0" w:color="auto"/>
              <w:right w:val="nil"/>
            </w:tcBorders>
            <w:shd w:val="clear" w:color="auto" w:fill="auto"/>
            <w:noWrap/>
            <w:vAlign w:val="center"/>
            <w:hideMark/>
          </w:tcPr>
          <w:p w14:paraId="1CF6BAD1" w14:textId="77777777" w:rsidR="00F73D29" w:rsidRPr="00372E74" w:rsidRDefault="00F73D29" w:rsidP="00BA1D25">
            <w:pPr>
              <w:spacing w:after="0"/>
              <w:jc w:val="center"/>
              <w:rPr>
                <w:rFonts w:ascii="Times New Roman" w:eastAsia="Times New Roman" w:hAnsi="Times New Roman"/>
                <w:b/>
                <w:bCs/>
                <w:color w:val="000000"/>
                <w:sz w:val="16"/>
                <w:szCs w:val="16"/>
                <w:lang w:val="en-HK"/>
              </w:rPr>
            </w:pPr>
            <w:r w:rsidRPr="00372E74">
              <w:rPr>
                <w:rFonts w:ascii="Times New Roman" w:eastAsia="Times New Roman" w:hAnsi="Times New Roman"/>
                <w:b/>
                <w:bCs/>
                <w:color w:val="000000"/>
                <w:sz w:val="16"/>
                <w:szCs w:val="16"/>
                <w:lang w:val="en-HK"/>
              </w:rPr>
              <w:t>3</w:t>
            </w: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4069AA82"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5</w:t>
            </w:r>
          </w:p>
        </w:tc>
        <w:tc>
          <w:tcPr>
            <w:tcW w:w="960" w:type="dxa"/>
            <w:tcBorders>
              <w:top w:val="nil"/>
              <w:left w:val="nil"/>
              <w:bottom w:val="single" w:sz="8" w:space="0" w:color="auto"/>
              <w:right w:val="single" w:sz="4" w:space="0" w:color="auto"/>
            </w:tcBorders>
            <w:shd w:val="clear" w:color="auto" w:fill="auto"/>
            <w:noWrap/>
            <w:vAlign w:val="center"/>
            <w:hideMark/>
          </w:tcPr>
          <w:p w14:paraId="30BF1B1D"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c>
          <w:tcPr>
            <w:tcW w:w="960" w:type="dxa"/>
            <w:tcBorders>
              <w:top w:val="nil"/>
              <w:left w:val="nil"/>
              <w:bottom w:val="single" w:sz="8" w:space="0" w:color="auto"/>
              <w:right w:val="single" w:sz="4" w:space="0" w:color="auto"/>
            </w:tcBorders>
            <w:shd w:val="clear" w:color="auto" w:fill="FFFF00"/>
            <w:noWrap/>
            <w:vAlign w:val="center"/>
            <w:hideMark/>
          </w:tcPr>
          <w:p w14:paraId="2E7FF1DE"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85</w:t>
            </w:r>
          </w:p>
        </w:tc>
        <w:tc>
          <w:tcPr>
            <w:tcW w:w="960" w:type="dxa"/>
            <w:tcBorders>
              <w:top w:val="nil"/>
              <w:left w:val="nil"/>
              <w:bottom w:val="single" w:sz="8" w:space="0" w:color="auto"/>
              <w:right w:val="single" w:sz="8" w:space="0" w:color="auto"/>
            </w:tcBorders>
            <w:shd w:val="clear" w:color="auto" w:fill="auto"/>
            <w:noWrap/>
            <w:vAlign w:val="center"/>
            <w:hideMark/>
          </w:tcPr>
          <w:p w14:paraId="7D6E8C50" w14:textId="77777777" w:rsidR="00F73D29" w:rsidRPr="00F73D29" w:rsidRDefault="00F73D29" w:rsidP="00BA1D25">
            <w:pPr>
              <w:spacing w:after="0"/>
              <w:jc w:val="center"/>
              <w:rPr>
                <w:rFonts w:ascii="Times New Roman" w:eastAsia="Times New Roman" w:hAnsi="Times New Roman"/>
                <w:color w:val="000000"/>
                <w:sz w:val="16"/>
                <w:szCs w:val="16"/>
                <w:lang w:val="en-HK"/>
              </w:rPr>
            </w:pPr>
            <w:r w:rsidRPr="00F73D29">
              <w:rPr>
                <w:rFonts w:ascii="Times New Roman" w:eastAsia="Times New Roman" w:hAnsi="Times New Roman"/>
                <w:color w:val="000000"/>
                <w:sz w:val="16"/>
                <w:szCs w:val="16"/>
                <w:lang w:val="en-HK"/>
              </w:rPr>
              <w:t>0</w:t>
            </w:r>
          </w:p>
        </w:tc>
      </w:tr>
    </w:tbl>
    <w:p w14:paraId="168315CF" w14:textId="77777777" w:rsidR="00372E74" w:rsidRDefault="00372E74" w:rsidP="00BA1D25">
      <w:pPr>
        <w:rPr>
          <w:rFonts w:ascii="Times New Roman" w:hAnsi="Times New Roman"/>
        </w:rPr>
      </w:pPr>
    </w:p>
    <w:p w14:paraId="1A530292" w14:textId="279CF519" w:rsidR="00073E76" w:rsidRDefault="001B5DE7" w:rsidP="00BA1D25">
      <w:pPr>
        <w:rPr>
          <w:rFonts w:ascii="Times New Roman" w:hAnsi="Times New Roman"/>
        </w:rPr>
      </w:pPr>
      <w:r>
        <w:rPr>
          <w:rFonts w:ascii="Times New Roman" w:hAnsi="Times New Roman"/>
        </w:rPr>
        <w:t>From the table above, which shows the classification of 331 local authorities in clusters from UMAP and clusters from t-SNE, it was observed that the results from the two dimensionality reduction methods were nearly identical, as the highlighted cells represent 96.4% of all local authorities.</w:t>
      </w:r>
      <w:r w:rsidR="00314A98">
        <w:rPr>
          <w:rFonts w:ascii="Times New Roman" w:hAnsi="Times New Roman"/>
        </w:rPr>
        <w:t xml:space="preserve"> Therefore, choosing either one of the dimensionality reduction methods would not affect the analysis result. From the perspective of visualization, </w:t>
      </w:r>
      <w:r w:rsidR="00314A98" w:rsidRPr="00314A98">
        <w:rPr>
          <w:rFonts w:ascii="Times New Roman" w:hAnsi="Times New Roman"/>
        </w:rPr>
        <w:t>t-SNE</w:t>
      </w:r>
      <w:r w:rsidR="00314A98">
        <w:rPr>
          <w:rFonts w:ascii="Times New Roman" w:hAnsi="Times New Roman"/>
        </w:rPr>
        <w:t xml:space="preserve"> </w:t>
      </w:r>
      <w:r w:rsidR="001B3E8D">
        <w:rPr>
          <w:rFonts w:ascii="Times New Roman" w:hAnsi="Times New Roman"/>
        </w:rPr>
        <w:t>wa</w:t>
      </w:r>
      <w:r w:rsidR="00314A98">
        <w:rPr>
          <w:rFonts w:ascii="Times New Roman" w:hAnsi="Times New Roman"/>
        </w:rPr>
        <w:t>s preferred as the points are more spread out while the clustering structure is still preserved.</w:t>
      </w:r>
    </w:p>
    <w:p w14:paraId="01D7B856" w14:textId="77777777" w:rsidR="00073E76" w:rsidRPr="00372E74" w:rsidRDefault="00073E76" w:rsidP="00BA1D25">
      <w:pPr>
        <w:rPr>
          <w:rFonts w:ascii="Times New Roman" w:hAnsi="Times New Roman"/>
          <w:u w:val="single"/>
        </w:rPr>
      </w:pPr>
      <w:r w:rsidRPr="00372E74">
        <w:rPr>
          <w:rFonts w:ascii="Times New Roman" w:hAnsi="Times New Roman"/>
          <w:u w:val="single"/>
        </w:rPr>
        <w:t>Characteristics of clusters</w:t>
      </w:r>
    </w:p>
    <w:p w14:paraId="0FC2E808" w14:textId="52316704" w:rsidR="00073E76" w:rsidRDefault="00073E76" w:rsidP="00BA1D25">
      <w:pPr>
        <w:rPr>
          <w:rFonts w:ascii="Times New Roman" w:hAnsi="Times New Roman"/>
        </w:rPr>
      </w:pPr>
      <w:r>
        <w:rPr>
          <w:rFonts w:ascii="Times New Roman" w:hAnsi="Times New Roman"/>
        </w:rPr>
        <w:t xml:space="preserve">From the table below which shows the simple averages of the five relevant variables by clusters, it was observed that cluster 2 </w:t>
      </w:r>
      <w:r w:rsidR="00A804DF">
        <w:rPr>
          <w:rFonts w:ascii="Times New Roman" w:hAnsi="Times New Roman"/>
        </w:rPr>
        <w:t xml:space="preserve">had the best performance except higher unemployment rate. Cluster 1 and 3 had very little relevant job opportunities for users. Cluster 1 had higher proportion of 25-34 population but the highest unemployment rate. Cluster 3 had low unemployment rate but low proportion of 25-34 population. Cluster 0 was the cluster with medium performance on all of these five variables. </w:t>
      </w:r>
    </w:p>
    <w:tbl>
      <w:tblPr>
        <w:tblW w:w="8828" w:type="dxa"/>
        <w:tblLayout w:type="fixed"/>
        <w:tblLook w:val="04A0" w:firstRow="1" w:lastRow="0" w:firstColumn="1" w:lastColumn="0" w:noHBand="0" w:noVBand="1"/>
      </w:tblPr>
      <w:tblGrid>
        <w:gridCol w:w="1271"/>
        <w:gridCol w:w="1511"/>
        <w:gridCol w:w="1511"/>
        <w:gridCol w:w="1512"/>
        <w:gridCol w:w="1511"/>
        <w:gridCol w:w="1512"/>
      </w:tblGrid>
      <w:tr w:rsidR="00073E76" w:rsidRPr="00073E76" w14:paraId="10F75620" w14:textId="77777777" w:rsidTr="00073E76">
        <w:trPr>
          <w:trHeight w:val="300"/>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C40F7"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lastRenderedPageBreak/>
              <w:t>t-SNE Cluster</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F651733"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t>Age 25-34 %</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4437E6B4"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t>Never married &amp; Age 25-34 %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2F9A65CD"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t>Professional occupations %</w:t>
            </w:r>
          </w:p>
        </w:tc>
        <w:tc>
          <w:tcPr>
            <w:tcW w:w="1511" w:type="dxa"/>
            <w:tcBorders>
              <w:top w:val="single" w:sz="4" w:space="0" w:color="auto"/>
              <w:left w:val="nil"/>
              <w:bottom w:val="single" w:sz="4" w:space="0" w:color="auto"/>
              <w:right w:val="single" w:sz="4" w:space="0" w:color="auto"/>
            </w:tcBorders>
            <w:shd w:val="clear" w:color="auto" w:fill="auto"/>
            <w:noWrap/>
            <w:vAlign w:val="bottom"/>
            <w:hideMark/>
          </w:tcPr>
          <w:p w14:paraId="51403E37"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t>Information and communication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289FAE88" w14:textId="77777777" w:rsidR="00073E76" w:rsidRPr="00073E76" w:rsidRDefault="00073E76" w:rsidP="00BA1D25">
            <w:pPr>
              <w:spacing w:after="0"/>
              <w:jc w:val="center"/>
              <w:rPr>
                <w:rFonts w:ascii="Times New Roman" w:eastAsia="Times New Roman" w:hAnsi="Times New Roman"/>
                <w:b/>
                <w:bCs/>
                <w:color w:val="000000"/>
                <w:sz w:val="16"/>
                <w:szCs w:val="16"/>
                <w:lang w:val="en-HK"/>
              </w:rPr>
            </w:pPr>
            <w:r w:rsidRPr="00073E76">
              <w:rPr>
                <w:rFonts w:ascii="Times New Roman" w:eastAsia="Times New Roman" w:hAnsi="Times New Roman"/>
                <w:b/>
                <w:bCs/>
                <w:color w:val="000000"/>
                <w:sz w:val="16"/>
                <w:szCs w:val="16"/>
                <w:lang w:val="en-HK"/>
              </w:rPr>
              <w:t>Unemployed %</w:t>
            </w:r>
          </w:p>
        </w:tc>
      </w:tr>
      <w:tr w:rsidR="00073E76" w:rsidRPr="00073E76" w14:paraId="332539C8" w14:textId="77777777" w:rsidTr="00073E7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BAFBE5F"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0</w:t>
            </w:r>
          </w:p>
        </w:tc>
        <w:tc>
          <w:tcPr>
            <w:tcW w:w="1511" w:type="dxa"/>
            <w:tcBorders>
              <w:top w:val="nil"/>
              <w:left w:val="nil"/>
              <w:bottom w:val="single" w:sz="4" w:space="0" w:color="auto"/>
              <w:right w:val="single" w:sz="4" w:space="0" w:color="auto"/>
            </w:tcBorders>
            <w:shd w:val="clear" w:color="auto" w:fill="auto"/>
            <w:noWrap/>
            <w:vAlign w:val="bottom"/>
            <w:hideMark/>
          </w:tcPr>
          <w:p w14:paraId="20273DEC"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12.3</w:t>
            </w:r>
          </w:p>
        </w:tc>
        <w:tc>
          <w:tcPr>
            <w:tcW w:w="1511" w:type="dxa"/>
            <w:tcBorders>
              <w:top w:val="nil"/>
              <w:left w:val="nil"/>
              <w:bottom w:val="single" w:sz="4" w:space="0" w:color="auto"/>
              <w:right w:val="single" w:sz="4" w:space="0" w:color="auto"/>
            </w:tcBorders>
            <w:shd w:val="clear" w:color="auto" w:fill="auto"/>
            <w:noWrap/>
            <w:vAlign w:val="bottom"/>
            <w:hideMark/>
          </w:tcPr>
          <w:p w14:paraId="1C7F4082"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10.5</w:t>
            </w:r>
          </w:p>
        </w:tc>
        <w:tc>
          <w:tcPr>
            <w:tcW w:w="1512" w:type="dxa"/>
            <w:tcBorders>
              <w:top w:val="nil"/>
              <w:left w:val="nil"/>
              <w:bottom w:val="single" w:sz="4" w:space="0" w:color="auto"/>
              <w:right w:val="single" w:sz="4" w:space="0" w:color="auto"/>
            </w:tcBorders>
            <w:shd w:val="clear" w:color="auto" w:fill="auto"/>
            <w:noWrap/>
            <w:vAlign w:val="bottom"/>
            <w:hideMark/>
          </w:tcPr>
          <w:p w14:paraId="58DA706D"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20.1</w:t>
            </w:r>
          </w:p>
        </w:tc>
        <w:tc>
          <w:tcPr>
            <w:tcW w:w="1511" w:type="dxa"/>
            <w:tcBorders>
              <w:top w:val="nil"/>
              <w:left w:val="nil"/>
              <w:bottom w:val="single" w:sz="4" w:space="0" w:color="auto"/>
              <w:right w:val="single" w:sz="4" w:space="0" w:color="auto"/>
            </w:tcBorders>
            <w:shd w:val="clear" w:color="auto" w:fill="auto"/>
            <w:noWrap/>
            <w:vAlign w:val="bottom"/>
            <w:hideMark/>
          </w:tcPr>
          <w:p w14:paraId="4F17DE16"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4.1</w:t>
            </w:r>
          </w:p>
        </w:tc>
        <w:tc>
          <w:tcPr>
            <w:tcW w:w="1512" w:type="dxa"/>
            <w:tcBorders>
              <w:top w:val="nil"/>
              <w:left w:val="nil"/>
              <w:bottom w:val="single" w:sz="4" w:space="0" w:color="auto"/>
              <w:right w:val="single" w:sz="4" w:space="0" w:color="auto"/>
            </w:tcBorders>
            <w:shd w:val="clear" w:color="auto" w:fill="auto"/>
            <w:noWrap/>
            <w:vAlign w:val="bottom"/>
            <w:hideMark/>
          </w:tcPr>
          <w:p w14:paraId="61AFDFAF"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4.1</w:t>
            </w:r>
          </w:p>
        </w:tc>
      </w:tr>
      <w:tr w:rsidR="00073E76" w:rsidRPr="00073E76" w14:paraId="11D24D8D" w14:textId="77777777" w:rsidTr="00073E7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36267524"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w:t>
            </w:r>
          </w:p>
        </w:tc>
        <w:tc>
          <w:tcPr>
            <w:tcW w:w="1511" w:type="dxa"/>
            <w:tcBorders>
              <w:top w:val="nil"/>
              <w:left w:val="nil"/>
              <w:bottom w:val="single" w:sz="4" w:space="0" w:color="auto"/>
              <w:right w:val="single" w:sz="4" w:space="0" w:color="auto"/>
            </w:tcBorders>
            <w:shd w:val="clear" w:color="auto" w:fill="auto"/>
            <w:noWrap/>
            <w:vAlign w:val="bottom"/>
            <w:hideMark/>
          </w:tcPr>
          <w:p w14:paraId="7C68A47D"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13.5</w:t>
            </w:r>
          </w:p>
        </w:tc>
        <w:tc>
          <w:tcPr>
            <w:tcW w:w="1511" w:type="dxa"/>
            <w:tcBorders>
              <w:top w:val="nil"/>
              <w:left w:val="nil"/>
              <w:bottom w:val="single" w:sz="4" w:space="0" w:color="auto"/>
              <w:right w:val="single" w:sz="4" w:space="0" w:color="auto"/>
            </w:tcBorders>
            <w:shd w:val="clear" w:color="auto" w:fill="auto"/>
            <w:noWrap/>
            <w:vAlign w:val="bottom"/>
            <w:hideMark/>
          </w:tcPr>
          <w:p w14:paraId="557B5B60"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11.8</w:t>
            </w:r>
          </w:p>
        </w:tc>
        <w:tc>
          <w:tcPr>
            <w:tcW w:w="1512" w:type="dxa"/>
            <w:tcBorders>
              <w:top w:val="nil"/>
              <w:left w:val="nil"/>
              <w:bottom w:val="single" w:sz="4" w:space="0" w:color="auto"/>
              <w:right w:val="single" w:sz="4" w:space="0" w:color="auto"/>
            </w:tcBorders>
            <w:shd w:val="clear" w:color="auto" w:fill="auto"/>
            <w:noWrap/>
            <w:vAlign w:val="bottom"/>
            <w:hideMark/>
          </w:tcPr>
          <w:p w14:paraId="786D5766"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15</w:t>
            </w:r>
          </w:p>
        </w:tc>
        <w:tc>
          <w:tcPr>
            <w:tcW w:w="1511" w:type="dxa"/>
            <w:tcBorders>
              <w:top w:val="nil"/>
              <w:left w:val="nil"/>
              <w:bottom w:val="single" w:sz="4" w:space="0" w:color="auto"/>
              <w:right w:val="single" w:sz="4" w:space="0" w:color="auto"/>
            </w:tcBorders>
            <w:shd w:val="clear" w:color="auto" w:fill="auto"/>
            <w:noWrap/>
            <w:vAlign w:val="bottom"/>
            <w:hideMark/>
          </w:tcPr>
          <w:p w14:paraId="15BEE8FB"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2.8</w:t>
            </w:r>
          </w:p>
        </w:tc>
        <w:tc>
          <w:tcPr>
            <w:tcW w:w="1512" w:type="dxa"/>
            <w:tcBorders>
              <w:top w:val="nil"/>
              <w:left w:val="nil"/>
              <w:bottom w:val="single" w:sz="4" w:space="0" w:color="auto"/>
              <w:right w:val="single" w:sz="4" w:space="0" w:color="auto"/>
            </w:tcBorders>
            <w:shd w:val="clear" w:color="auto" w:fill="auto"/>
            <w:noWrap/>
            <w:vAlign w:val="bottom"/>
            <w:hideMark/>
          </w:tcPr>
          <w:p w14:paraId="57FCA1A6"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5.3</w:t>
            </w:r>
          </w:p>
        </w:tc>
      </w:tr>
      <w:tr w:rsidR="00073E76" w:rsidRPr="00073E76" w14:paraId="3691CA1A" w14:textId="77777777" w:rsidTr="00073E7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4BF5D172"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2</w:t>
            </w:r>
          </w:p>
        </w:tc>
        <w:tc>
          <w:tcPr>
            <w:tcW w:w="1511" w:type="dxa"/>
            <w:tcBorders>
              <w:top w:val="nil"/>
              <w:left w:val="nil"/>
              <w:bottom w:val="single" w:sz="4" w:space="0" w:color="auto"/>
              <w:right w:val="single" w:sz="4" w:space="0" w:color="auto"/>
            </w:tcBorders>
            <w:shd w:val="clear" w:color="auto" w:fill="auto"/>
            <w:noWrap/>
            <w:vAlign w:val="bottom"/>
            <w:hideMark/>
          </w:tcPr>
          <w:p w14:paraId="3070D73C"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15.1</w:t>
            </w:r>
          </w:p>
        </w:tc>
        <w:tc>
          <w:tcPr>
            <w:tcW w:w="1511" w:type="dxa"/>
            <w:tcBorders>
              <w:top w:val="nil"/>
              <w:left w:val="nil"/>
              <w:bottom w:val="single" w:sz="4" w:space="0" w:color="auto"/>
              <w:right w:val="single" w:sz="4" w:space="0" w:color="auto"/>
            </w:tcBorders>
            <w:shd w:val="clear" w:color="auto" w:fill="auto"/>
            <w:noWrap/>
            <w:vAlign w:val="bottom"/>
            <w:hideMark/>
          </w:tcPr>
          <w:p w14:paraId="73FDE3F2"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13.4</w:t>
            </w:r>
          </w:p>
        </w:tc>
        <w:tc>
          <w:tcPr>
            <w:tcW w:w="1512" w:type="dxa"/>
            <w:tcBorders>
              <w:top w:val="nil"/>
              <w:left w:val="nil"/>
              <w:bottom w:val="single" w:sz="4" w:space="0" w:color="auto"/>
              <w:right w:val="single" w:sz="4" w:space="0" w:color="auto"/>
            </w:tcBorders>
            <w:shd w:val="clear" w:color="auto" w:fill="auto"/>
            <w:noWrap/>
            <w:vAlign w:val="bottom"/>
            <w:hideMark/>
          </w:tcPr>
          <w:p w14:paraId="6E1EC23B"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25.9</w:t>
            </w:r>
          </w:p>
        </w:tc>
        <w:tc>
          <w:tcPr>
            <w:tcW w:w="1511" w:type="dxa"/>
            <w:tcBorders>
              <w:top w:val="nil"/>
              <w:left w:val="nil"/>
              <w:bottom w:val="single" w:sz="4" w:space="0" w:color="auto"/>
              <w:right w:val="single" w:sz="4" w:space="0" w:color="auto"/>
            </w:tcBorders>
            <w:shd w:val="clear" w:color="auto" w:fill="auto"/>
            <w:noWrap/>
            <w:vAlign w:val="bottom"/>
            <w:hideMark/>
          </w:tcPr>
          <w:p w14:paraId="2D0E5370"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7.5</w:t>
            </w:r>
          </w:p>
        </w:tc>
        <w:tc>
          <w:tcPr>
            <w:tcW w:w="1512" w:type="dxa"/>
            <w:tcBorders>
              <w:top w:val="nil"/>
              <w:left w:val="nil"/>
              <w:bottom w:val="single" w:sz="4" w:space="0" w:color="auto"/>
              <w:right w:val="single" w:sz="4" w:space="0" w:color="auto"/>
            </w:tcBorders>
            <w:shd w:val="clear" w:color="auto" w:fill="auto"/>
            <w:noWrap/>
            <w:vAlign w:val="bottom"/>
            <w:hideMark/>
          </w:tcPr>
          <w:p w14:paraId="19A3A8DC"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4.9</w:t>
            </w:r>
          </w:p>
        </w:tc>
      </w:tr>
      <w:tr w:rsidR="00073E76" w:rsidRPr="00073E76" w14:paraId="2ACE0A7A" w14:textId="77777777" w:rsidTr="00073E7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2031A8B"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3</w:t>
            </w:r>
          </w:p>
        </w:tc>
        <w:tc>
          <w:tcPr>
            <w:tcW w:w="1511" w:type="dxa"/>
            <w:tcBorders>
              <w:top w:val="nil"/>
              <w:left w:val="nil"/>
              <w:bottom w:val="single" w:sz="4" w:space="0" w:color="auto"/>
              <w:right w:val="single" w:sz="4" w:space="0" w:color="auto"/>
            </w:tcBorders>
            <w:shd w:val="clear" w:color="auto" w:fill="auto"/>
            <w:noWrap/>
            <w:vAlign w:val="bottom"/>
            <w:hideMark/>
          </w:tcPr>
          <w:p w14:paraId="1C1E0AD5"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10.7</w:t>
            </w:r>
          </w:p>
        </w:tc>
        <w:tc>
          <w:tcPr>
            <w:tcW w:w="1511" w:type="dxa"/>
            <w:tcBorders>
              <w:top w:val="nil"/>
              <w:left w:val="nil"/>
              <w:bottom w:val="single" w:sz="4" w:space="0" w:color="auto"/>
              <w:right w:val="single" w:sz="4" w:space="0" w:color="auto"/>
            </w:tcBorders>
            <w:shd w:val="clear" w:color="auto" w:fill="auto"/>
            <w:noWrap/>
            <w:vAlign w:val="bottom"/>
            <w:hideMark/>
          </w:tcPr>
          <w:p w14:paraId="47925A08"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9.1</w:t>
            </w:r>
          </w:p>
        </w:tc>
        <w:tc>
          <w:tcPr>
            <w:tcW w:w="1512" w:type="dxa"/>
            <w:tcBorders>
              <w:top w:val="nil"/>
              <w:left w:val="nil"/>
              <w:bottom w:val="single" w:sz="4" w:space="0" w:color="auto"/>
              <w:right w:val="single" w:sz="4" w:space="0" w:color="auto"/>
            </w:tcBorders>
            <w:shd w:val="clear" w:color="auto" w:fill="auto"/>
            <w:noWrap/>
            <w:vAlign w:val="bottom"/>
            <w:hideMark/>
          </w:tcPr>
          <w:p w14:paraId="5494B7C7"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16.1</w:t>
            </w:r>
          </w:p>
        </w:tc>
        <w:tc>
          <w:tcPr>
            <w:tcW w:w="1511" w:type="dxa"/>
            <w:tcBorders>
              <w:top w:val="nil"/>
              <w:left w:val="nil"/>
              <w:bottom w:val="single" w:sz="4" w:space="0" w:color="auto"/>
              <w:right w:val="single" w:sz="4" w:space="0" w:color="auto"/>
            </w:tcBorders>
            <w:shd w:val="clear" w:color="auto" w:fill="auto"/>
            <w:noWrap/>
            <w:vAlign w:val="bottom"/>
            <w:hideMark/>
          </w:tcPr>
          <w:p w14:paraId="685B2315"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2.7</w:t>
            </w:r>
          </w:p>
        </w:tc>
        <w:tc>
          <w:tcPr>
            <w:tcW w:w="1512" w:type="dxa"/>
            <w:tcBorders>
              <w:top w:val="nil"/>
              <w:left w:val="nil"/>
              <w:bottom w:val="single" w:sz="4" w:space="0" w:color="auto"/>
              <w:right w:val="single" w:sz="4" w:space="0" w:color="auto"/>
            </w:tcBorders>
            <w:shd w:val="clear" w:color="auto" w:fill="auto"/>
            <w:noWrap/>
            <w:vAlign w:val="bottom"/>
            <w:hideMark/>
          </w:tcPr>
          <w:p w14:paraId="0B5DDC03" w14:textId="77777777" w:rsidR="00073E76" w:rsidRPr="00073E76" w:rsidRDefault="00073E76" w:rsidP="00BA1D25">
            <w:pPr>
              <w:spacing w:after="0"/>
              <w:jc w:val="center"/>
              <w:rPr>
                <w:rFonts w:ascii="Times New Roman" w:eastAsia="Times New Roman" w:hAnsi="Times New Roman"/>
                <w:color w:val="000000"/>
                <w:sz w:val="16"/>
                <w:szCs w:val="16"/>
                <w:lang w:val="en-HK"/>
              </w:rPr>
            </w:pPr>
            <w:r w:rsidRPr="00073E76">
              <w:rPr>
                <w:rFonts w:ascii="Times New Roman" w:eastAsia="Times New Roman" w:hAnsi="Times New Roman"/>
                <w:color w:val="000000"/>
                <w:sz w:val="16"/>
                <w:szCs w:val="16"/>
                <w:lang w:val="en-HK"/>
              </w:rPr>
              <w:t>3.9</w:t>
            </w:r>
          </w:p>
        </w:tc>
      </w:tr>
    </w:tbl>
    <w:p w14:paraId="39EE118E" w14:textId="6E280133" w:rsidR="00F73D29" w:rsidRDefault="00F73D29" w:rsidP="00BA1D25">
      <w:pPr>
        <w:rPr>
          <w:rFonts w:ascii="Times New Roman" w:hAnsi="Times New Roman"/>
        </w:rPr>
      </w:pPr>
    </w:p>
    <w:p w14:paraId="5A1EBBC7" w14:textId="52860751" w:rsidR="00C21298" w:rsidRDefault="00A804DF" w:rsidP="00BA1D25">
      <w:pPr>
        <w:rPr>
          <w:rFonts w:ascii="Times New Roman" w:hAnsi="Times New Roman"/>
        </w:rPr>
      </w:pPr>
      <w:r>
        <w:rPr>
          <w:rFonts w:ascii="Times New Roman" w:hAnsi="Times New Roman"/>
        </w:rPr>
        <w:t xml:space="preserve">Therefore, cluster 2 should be the target for the users to live in, and the characteristics of the clusters </w:t>
      </w:r>
      <w:r w:rsidR="00FB60A4">
        <w:rPr>
          <w:rFonts w:ascii="Times New Roman" w:hAnsi="Times New Roman"/>
        </w:rPr>
        <w:t>were</w:t>
      </w:r>
      <w:r>
        <w:rPr>
          <w:rFonts w:ascii="Times New Roman" w:hAnsi="Times New Roman"/>
        </w:rPr>
        <w:t xml:space="preserve"> summarized in the table below:</w:t>
      </w:r>
    </w:p>
    <w:tbl>
      <w:tblPr>
        <w:tblW w:w="8926" w:type="dxa"/>
        <w:tblLook w:val="04A0" w:firstRow="1" w:lastRow="0" w:firstColumn="1" w:lastColumn="0" w:noHBand="0" w:noVBand="1"/>
      </w:tblPr>
      <w:tblGrid>
        <w:gridCol w:w="840"/>
        <w:gridCol w:w="1160"/>
        <w:gridCol w:w="1256"/>
        <w:gridCol w:w="1275"/>
        <w:gridCol w:w="1276"/>
        <w:gridCol w:w="1559"/>
        <w:gridCol w:w="1560"/>
      </w:tblGrid>
      <w:tr w:rsidR="00FB60A4" w:rsidRPr="00FB60A4" w14:paraId="2C8C1994" w14:textId="77777777" w:rsidTr="00FB60A4">
        <w:trPr>
          <w:trHeight w:val="585"/>
        </w:trPr>
        <w:tc>
          <w:tcPr>
            <w:tcW w:w="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36E1AB"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t-SNE Clusters</w:t>
            </w:r>
          </w:p>
        </w:tc>
        <w:tc>
          <w:tcPr>
            <w:tcW w:w="1160" w:type="dxa"/>
            <w:tcBorders>
              <w:top w:val="single" w:sz="4" w:space="0" w:color="auto"/>
              <w:left w:val="nil"/>
              <w:bottom w:val="single" w:sz="4" w:space="0" w:color="auto"/>
              <w:right w:val="single" w:sz="4" w:space="0" w:color="auto"/>
            </w:tcBorders>
            <w:shd w:val="clear" w:color="auto" w:fill="auto"/>
            <w:vAlign w:val="center"/>
            <w:hideMark/>
          </w:tcPr>
          <w:p w14:paraId="417C4054"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Cluster Label</w:t>
            </w:r>
          </w:p>
        </w:tc>
        <w:tc>
          <w:tcPr>
            <w:tcW w:w="1256" w:type="dxa"/>
            <w:tcBorders>
              <w:top w:val="single" w:sz="4" w:space="0" w:color="auto"/>
              <w:left w:val="nil"/>
              <w:bottom w:val="single" w:sz="4" w:space="0" w:color="auto"/>
              <w:right w:val="single" w:sz="4" w:space="0" w:color="auto"/>
            </w:tcBorders>
            <w:shd w:val="clear" w:color="auto" w:fill="auto"/>
            <w:vAlign w:val="center"/>
            <w:hideMark/>
          </w:tcPr>
          <w:p w14:paraId="56BC9CDF"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Age 25-34 %</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CDB065C"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Never married &amp; Age 25-34 %</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198FA7C1"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Professional occupations %</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372350A9"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Information and communication %</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14:paraId="60DA2A0D" w14:textId="77777777" w:rsidR="00FB60A4" w:rsidRPr="00FB60A4" w:rsidRDefault="00FB60A4" w:rsidP="00BA1D25">
            <w:pPr>
              <w:spacing w:after="0"/>
              <w:jc w:val="center"/>
              <w:rPr>
                <w:rFonts w:ascii="Times New Roman" w:eastAsia="Times New Roman" w:hAnsi="Times New Roman"/>
                <w:b/>
                <w:bCs/>
                <w:color w:val="000000"/>
                <w:sz w:val="16"/>
                <w:szCs w:val="16"/>
                <w:lang w:val="en-HK"/>
              </w:rPr>
            </w:pPr>
            <w:r w:rsidRPr="00FB60A4">
              <w:rPr>
                <w:rFonts w:ascii="Times New Roman" w:eastAsia="Times New Roman" w:hAnsi="Times New Roman"/>
                <w:b/>
                <w:bCs/>
                <w:color w:val="000000"/>
                <w:sz w:val="16"/>
                <w:szCs w:val="16"/>
                <w:lang w:val="en-HK"/>
              </w:rPr>
              <w:t>Unemployed %</w:t>
            </w:r>
          </w:p>
        </w:tc>
      </w:tr>
      <w:tr w:rsidR="00FB60A4" w:rsidRPr="00FB60A4" w14:paraId="1BD16145" w14:textId="77777777" w:rsidTr="00FB60A4">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15BE08FA"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0</w:t>
            </w:r>
          </w:p>
        </w:tc>
        <w:tc>
          <w:tcPr>
            <w:tcW w:w="1160" w:type="dxa"/>
            <w:tcBorders>
              <w:top w:val="nil"/>
              <w:left w:val="nil"/>
              <w:bottom w:val="single" w:sz="4" w:space="0" w:color="auto"/>
              <w:right w:val="single" w:sz="4" w:space="0" w:color="auto"/>
            </w:tcBorders>
            <w:shd w:val="clear" w:color="auto" w:fill="auto"/>
            <w:noWrap/>
            <w:vAlign w:val="center"/>
            <w:hideMark/>
          </w:tcPr>
          <w:p w14:paraId="366B19DD"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Non-target 1</w:t>
            </w:r>
          </w:p>
        </w:tc>
        <w:tc>
          <w:tcPr>
            <w:tcW w:w="1256" w:type="dxa"/>
            <w:tcBorders>
              <w:top w:val="nil"/>
              <w:left w:val="nil"/>
              <w:bottom w:val="single" w:sz="4" w:space="0" w:color="auto"/>
              <w:right w:val="single" w:sz="4" w:space="0" w:color="auto"/>
            </w:tcBorders>
            <w:shd w:val="clear" w:color="auto" w:fill="auto"/>
            <w:noWrap/>
            <w:vAlign w:val="center"/>
            <w:hideMark/>
          </w:tcPr>
          <w:p w14:paraId="45CC1238"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Medium</w:t>
            </w:r>
          </w:p>
        </w:tc>
        <w:tc>
          <w:tcPr>
            <w:tcW w:w="1275" w:type="dxa"/>
            <w:tcBorders>
              <w:top w:val="nil"/>
              <w:left w:val="nil"/>
              <w:bottom w:val="single" w:sz="4" w:space="0" w:color="auto"/>
              <w:right w:val="single" w:sz="4" w:space="0" w:color="auto"/>
            </w:tcBorders>
            <w:shd w:val="clear" w:color="auto" w:fill="auto"/>
            <w:noWrap/>
            <w:vAlign w:val="center"/>
            <w:hideMark/>
          </w:tcPr>
          <w:p w14:paraId="40E3CD81"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Medium</w:t>
            </w:r>
          </w:p>
        </w:tc>
        <w:tc>
          <w:tcPr>
            <w:tcW w:w="1276" w:type="dxa"/>
            <w:tcBorders>
              <w:top w:val="nil"/>
              <w:left w:val="nil"/>
              <w:bottom w:val="single" w:sz="4" w:space="0" w:color="auto"/>
              <w:right w:val="single" w:sz="4" w:space="0" w:color="auto"/>
            </w:tcBorders>
            <w:shd w:val="clear" w:color="auto" w:fill="auto"/>
            <w:noWrap/>
            <w:vAlign w:val="center"/>
            <w:hideMark/>
          </w:tcPr>
          <w:p w14:paraId="7E4F9B8F"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Medium</w:t>
            </w:r>
          </w:p>
        </w:tc>
        <w:tc>
          <w:tcPr>
            <w:tcW w:w="1559" w:type="dxa"/>
            <w:tcBorders>
              <w:top w:val="nil"/>
              <w:left w:val="nil"/>
              <w:bottom w:val="single" w:sz="4" w:space="0" w:color="auto"/>
              <w:right w:val="single" w:sz="4" w:space="0" w:color="auto"/>
            </w:tcBorders>
            <w:shd w:val="clear" w:color="auto" w:fill="auto"/>
            <w:noWrap/>
            <w:vAlign w:val="center"/>
            <w:hideMark/>
          </w:tcPr>
          <w:p w14:paraId="4F0FCB03"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Medium</w:t>
            </w:r>
          </w:p>
        </w:tc>
        <w:tc>
          <w:tcPr>
            <w:tcW w:w="1560" w:type="dxa"/>
            <w:tcBorders>
              <w:top w:val="nil"/>
              <w:left w:val="nil"/>
              <w:bottom w:val="single" w:sz="4" w:space="0" w:color="auto"/>
              <w:right w:val="single" w:sz="4" w:space="0" w:color="auto"/>
            </w:tcBorders>
            <w:shd w:val="clear" w:color="auto" w:fill="auto"/>
            <w:noWrap/>
            <w:vAlign w:val="center"/>
            <w:hideMark/>
          </w:tcPr>
          <w:p w14:paraId="2BEC1AEB"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Low</w:t>
            </w:r>
          </w:p>
        </w:tc>
      </w:tr>
      <w:tr w:rsidR="00FB60A4" w:rsidRPr="00FB60A4" w14:paraId="2D2DA0DC" w14:textId="77777777" w:rsidTr="00FB60A4">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A8D5AE0"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1</w:t>
            </w:r>
          </w:p>
        </w:tc>
        <w:tc>
          <w:tcPr>
            <w:tcW w:w="1160" w:type="dxa"/>
            <w:tcBorders>
              <w:top w:val="nil"/>
              <w:left w:val="nil"/>
              <w:bottom w:val="single" w:sz="4" w:space="0" w:color="auto"/>
              <w:right w:val="single" w:sz="4" w:space="0" w:color="auto"/>
            </w:tcBorders>
            <w:shd w:val="clear" w:color="auto" w:fill="auto"/>
            <w:noWrap/>
            <w:vAlign w:val="center"/>
            <w:hideMark/>
          </w:tcPr>
          <w:p w14:paraId="2BE40FCE"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Non-target 2</w:t>
            </w:r>
          </w:p>
        </w:tc>
        <w:tc>
          <w:tcPr>
            <w:tcW w:w="1256" w:type="dxa"/>
            <w:tcBorders>
              <w:top w:val="nil"/>
              <w:left w:val="nil"/>
              <w:bottom w:val="single" w:sz="4" w:space="0" w:color="auto"/>
              <w:right w:val="single" w:sz="4" w:space="0" w:color="auto"/>
            </w:tcBorders>
            <w:shd w:val="clear" w:color="auto" w:fill="auto"/>
            <w:noWrap/>
            <w:vAlign w:val="center"/>
            <w:hideMark/>
          </w:tcPr>
          <w:p w14:paraId="673F0FCD"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Higher</w:t>
            </w:r>
          </w:p>
        </w:tc>
        <w:tc>
          <w:tcPr>
            <w:tcW w:w="1275" w:type="dxa"/>
            <w:tcBorders>
              <w:top w:val="nil"/>
              <w:left w:val="nil"/>
              <w:bottom w:val="single" w:sz="4" w:space="0" w:color="auto"/>
              <w:right w:val="single" w:sz="4" w:space="0" w:color="auto"/>
            </w:tcBorders>
            <w:shd w:val="clear" w:color="auto" w:fill="auto"/>
            <w:noWrap/>
            <w:vAlign w:val="center"/>
            <w:hideMark/>
          </w:tcPr>
          <w:p w14:paraId="794E0DA0"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Higher</w:t>
            </w:r>
          </w:p>
        </w:tc>
        <w:tc>
          <w:tcPr>
            <w:tcW w:w="1276" w:type="dxa"/>
            <w:tcBorders>
              <w:top w:val="nil"/>
              <w:left w:val="nil"/>
              <w:bottom w:val="single" w:sz="4" w:space="0" w:color="auto"/>
              <w:right w:val="single" w:sz="4" w:space="0" w:color="auto"/>
            </w:tcBorders>
            <w:shd w:val="clear" w:color="auto" w:fill="auto"/>
            <w:noWrap/>
            <w:vAlign w:val="center"/>
            <w:hideMark/>
          </w:tcPr>
          <w:p w14:paraId="426DB161"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559" w:type="dxa"/>
            <w:tcBorders>
              <w:top w:val="nil"/>
              <w:left w:val="nil"/>
              <w:bottom w:val="single" w:sz="4" w:space="0" w:color="auto"/>
              <w:right w:val="single" w:sz="4" w:space="0" w:color="auto"/>
            </w:tcBorders>
            <w:shd w:val="clear" w:color="auto" w:fill="auto"/>
            <w:noWrap/>
            <w:vAlign w:val="center"/>
            <w:hideMark/>
          </w:tcPr>
          <w:p w14:paraId="053AB2A1"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560" w:type="dxa"/>
            <w:tcBorders>
              <w:top w:val="nil"/>
              <w:left w:val="nil"/>
              <w:bottom w:val="single" w:sz="4" w:space="0" w:color="auto"/>
              <w:right w:val="single" w:sz="4" w:space="0" w:color="auto"/>
            </w:tcBorders>
            <w:shd w:val="clear" w:color="auto" w:fill="auto"/>
            <w:noWrap/>
            <w:vAlign w:val="center"/>
            <w:hideMark/>
          </w:tcPr>
          <w:p w14:paraId="37E37C8B"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D358AE">
              <w:rPr>
                <w:rFonts w:ascii="Times New Roman" w:eastAsia="Times New Roman" w:hAnsi="Times New Roman"/>
                <w:color w:val="000000"/>
                <w:sz w:val="16"/>
                <w:szCs w:val="16"/>
                <w:highlight w:val="cyan"/>
                <w:lang w:val="en-HK"/>
              </w:rPr>
              <w:t>High</w:t>
            </w:r>
          </w:p>
        </w:tc>
      </w:tr>
      <w:tr w:rsidR="00FB60A4" w:rsidRPr="00FB60A4" w14:paraId="438A5140" w14:textId="77777777" w:rsidTr="00FB60A4">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4A80F2E2"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2</w:t>
            </w:r>
          </w:p>
        </w:tc>
        <w:tc>
          <w:tcPr>
            <w:tcW w:w="1160" w:type="dxa"/>
            <w:tcBorders>
              <w:top w:val="nil"/>
              <w:left w:val="nil"/>
              <w:bottom w:val="single" w:sz="4" w:space="0" w:color="auto"/>
              <w:right w:val="single" w:sz="4" w:space="0" w:color="auto"/>
            </w:tcBorders>
            <w:shd w:val="clear" w:color="auto" w:fill="auto"/>
            <w:noWrap/>
            <w:vAlign w:val="center"/>
            <w:hideMark/>
          </w:tcPr>
          <w:p w14:paraId="4FF2B592"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Target</w:t>
            </w:r>
          </w:p>
        </w:tc>
        <w:tc>
          <w:tcPr>
            <w:tcW w:w="1256" w:type="dxa"/>
            <w:tcBorders>
              <w:top w:val="nil"/>
              <w:left w:val="nil"/>
              <w:bottom w:val="single" w:sz="4" w:space="0" w:color="auto"/>
              <w:right w:val="single" w:sz="4" w:space="0" w:color="auto"/>
            </w:tcBorders>
            <w:shd w:val="clear" w:color="auto" w:fill="auto"/>
            <w:noWrap/>
            <w:vAlign w:val="center"/>
            <w:hideMark/>
          </w:tcPr>
          <w:p w14:paraId="2D2C8A57" w14:textId="77777777" w:rsidR="00FB60A4" w:rsidRPr="00D358AE" w:rsidRDefault="00FB60A4" w:rsidP="00BA1D25">
            <w:pPr>
              <w:spacing w:after="0"/>
              <w:jc w:val="center"/>
              <w:rPr>
                <w:rFonts w:ascii="Times New Roman" w:eastAsia="Times New Roman" w:hAnsi="Times New Roman"/>
                <w:color w:val="000000"/>
                <w:sz w:val="16"/>
                <w:szCs w:val="16"/>
                <w:highlight w:val="yellow"/>
                <w:lang w:val="en-HK"/>
              </w:rPr>
            </w:pPr>
            <w:r w:rsidRPr="00D358AE">
              <w:rPr>
                <w:rFonts w:ascii="Times New Roman" w:eastAsia="Times New Roman" w:hAnsi="Times New Roman"/>
                <w:color w:val="000000"/>
                <w:sz w:val="16"/>
                <w:szCs w:val="16"/>
                <w:highlight w:val="yellow"/>
                <w:lang w:val="en-HK"/>
              </w:rPr>
              <w:t>High</w:t>
            </w:r>
          </w:p>
        </w:tc>
        <w:tc>
          <w:tcPr>
            <w:tcW w:w="1275" w:type="dxa"/>
            <w:tcBorders>
              <w:top w:val="nil"/>
              <w:left w:val="nil"/>
              <w:bottom w:val="single" w:sz="4" w:space="0" w:color="auto"/>
              <w:right w:val="single" w:sz="4" w:space="0" w:color="auto"/>
            </w:tcBorders>
            <w:shd w:val="clear" w:color="auto" w:fill="auto"/>
            <w:noWrap/>
            <w:vAlign w:val="center"/>
            <w:hideMark/>
          </w:tcPr>
          <w:p w14:paraId="20C3FF74" w14:textId="77777777" w:rsidR="00FB60A4" w:rsidRPr="00D358AE" w:rsidRDefault="00FB60A4" w:rsidP="00BA1D25">
            <w:pPr>
              <w:spacing w:after="0"/>
              <w:jc w:val="center"/>
              <w:rPr>
                <w:rFonts w:ascii="Times New Roman" w:eastAsia="Times New Roman" w:hAnsi="Times New Roman"/>
                <w:color w:val="000000"/>
                <w:sz w:val="16"/>
                <w:szCs w:val="16"/>
                <w:highlight w:val="yellow"/>
                <w:lang w:val="en-HK"/>
              </w:rPr>
            </w:pPr>
            <w:r w:rsidRPr="00D358AE">
              <w:rPr>
                <w:rFonts w:ascii="Times New Roman" w:eastAsia="Times New Roman" w:hAnsi="Times New Roman"/>
                <w:color w:val="000000"/>
                <w:sz w:val="16"/>
                <w:szCs w:val="16"/>
                <w:highlight w:val="yellow"/>
                <w:lang w:val="en-HK"/>
              </w:rPr>
              <w:t>High</w:t>
            </w:r>
          </w:p>
        </w:tc>
        <w:tc>
          <w:tcPr>
            <w:tcW w:w="1276" w:type="dxa"/>
            <w:tcBorders>
              <w:top w:val="nil"/>
              <w:left w:val="nil"/>
              <w:bottom w:val="single" w:sz="4" w:space="0" w:color="auto"/>
              <w:right w:val="single" w:sz="4" w:space="0" w:color="auto"/>
            </w:tcBorders>
            <w:shd w:val="clear" w:color="auto" w:fill="auto"/>
            <w:noWrap/>
            <w:vAlign w:val="center"/>
            <w:hideMark/>
          </w:tcPr>
          <w:p w14:paraId="1A2BC26F" w14:textId="77777777" w:rsidR="00FB60A4" w:rsidRPr="00D358AE" w:rsidRDefault="00FB60A4" w:rsidP="00BA1D25">
            <w:pPr>
              <w:spacing w:after="0"/>
              <w:jc w:val="center"/>
              <w:rPr>
                <w:rFonts w:ascii="Times New Roman" w:eastAsia="Times New Roman" w:hAnsi="Times New Roman"/>
                <w:color w:val="000000"/>
                <w:sz w:val="16"/>
                <w:szCs w:val="16"/>
                <w:highlight w:val="yellow"/>
                <w:lang w:val="en-HK"/>
              </w:rPr>
            </w:pPr>
            <w:r w:rsidRPr="00D358AE">
              <w:rPr>
                <w:rFonts w:ascii="Times New Roman" w:eastAsia="Times New Roman" w:hAnsi="Times New Roman"/>
                <w:color w:val="000000"/>
                <w:sz w:val="16"/>
                <w:szCs w:val="16"/>
                <w:highlight w:val="yellow"/>
                <w:lang w:val="en-HK"/>
              </w:rPr>
              <w:t>High</w:t>
            </w:r>
          </w:p>
        </w:tc>
        <w:tc>
          <w:tcPr>
            <w:tcW w:w="1559" w:type="dxa"/>
            <w:tcBorders>
              <w:top w:val="nil"/>
              <w:left w:val="nil"/>
              <w:bottom w:val="single" w:sz="4" w:space="0" w:color="auto"/>
              <w:right w:val="single" w:sz="4" w:space="0" w:color="auto"/>
            </w:tcBorders>
            <w:shd w:val="clear" w:color="auto" w:fill="auto"/>
            <w:noWrap/>
            <w:vAlign w:val="center"/>
            <w:hideMark/>
          </w:tcPr>
          <w:p w14:paraId="1BCEE622" w14:textId="77777777" w:rsidR="00FB60A4" w:rsidRPr="00D358AE" w:rsidRDefault="00FB60A4" w:rsidP="00BA1D25">
            <w:pPr>
              <w:spacing w:after="0"/>
              <w:jc w:val="center"/>
              <w:rPr>
                <w:rFonts w:ascii="Times New Roman" w:eastAsia="Times New Roman" w:hAnsi="Times New Roman"/>
                <w:color w:val="000000"/>
                <w:sz w:val="16"/>
                <w:szCs w:val="16"/>
                <w:highlight w:val="yellow"/>
                <w:lang w:val="en-HK"/>
              </w:rPr>
            </w:pPr>
            <w:r w:rsidRPr="00D358AE">
              <w:rPr>
                <w:rFonts w:ascii="Times New Roman" w:eastAsia="Times New Roman" w:hAnsi="Times New Roman"/>
                <w:color w:val="000000"/>
                <w:sz w:val="16"/>
                <w:szCs w:val="16"/>
                <w:highlight w:val="yellow"/>
                <w:lang w:val="en-HK"/>
              </w:rPr>
              <w:t>High</w:t>
            </w:r>
          </w:p>
        </w:tc>
        <w:tc>
          <w:tcPr>
            <w:tcW w:w="1560" w:type="dxa"/>
            <w:tcBorders>
              <w:top w:val="nil"/>
              <w:left w:val="nil"/>
              <w:bottom w:val="single" w:sz="4" w:space="0" w:color="auto"/>
              <w:right w:val="single" w:sz="4" w:space="0" w:color="auto"/>
            </w:tcBorders>
            <w:shd w:val="clear" w:color="auto" w:fill="auto"/>
            <w:noWrap/>
            <w:vAlign w:val="center"/>
            <w:hideMark/>
          </w:tcPr>
          <w:p w14:paraId="6B5F569A"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Higher</w:t>
            </w:r>
          </w:p>
        </w:tc>
      </w:tr>
      <w:tr w:rsidR="00FB60A4" w:rsidRPr="00FB60A4" w14:paraId="6D4365AB" w14:textId="77777777" w:rsidTr="00FB60A4">
        <w:trPr>
          <w:trHeight w:val="30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14:paraId="2C5BCF1B"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3</w:t>
            </w:r>
          </w:p>
        </w:tc>
        <w:tc>
          <w:tcPr>
            <w:tcW w:w="1160" w:type="dxa"/>
            <w:tcBorders>
              <w:top w:val="nil"/>
              <w:left w:val="nil"/>
              <w:bottom w:val="single" w:sz="4" w:space="0" w:color="auto"/>
              <w:right w:val="single" w:sz="4" w:space="0" w:color="auto"/>
            </w:tcBorders>
            <w:shd w:val="clear" w:color="auto" w:fill="auto"/>
            <w:noWrap/>
            <w:vAlign w:val="center"/>
            <w:hideMark/>
          </w:tcPr>
          <w:p w14:paraId="592503E4"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Non-target 3</w:t>
            </w:r>
          </w:p>
        </w:tc>
        <w:tc>
          <w:tcPr>
            <w:tcW w:w="1256" w:type="dxa"/>
            <w:tcBorders>
              <w:top w:val="nil"/>
              <w:left w:val="nil"/>
              <w:bottom w:val="single" w:sz="4" w:space="0" w:color="auto"/>
              <w:right w:val="single" w:sz="4" w:space="0" w:color="auto"/>
            </w:tcBorders>
            <w:shd w:val="clear" w:color="auto" w:fill="auto"/>
            <w:noWrap/>
            <w:vAlign w:val="center"/>
            <w:hideMark/>
          </w:tcPr>
          <w:p w14:paraId="7C132DCC"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275" w:type="dxa"/>
            <w:tcBorders>
              <w:top w:val="nil"/>
              <w:left w:val="nil"/>
              <w:bottom w:val="single" w:sz="4" w:space="0" w:color="auto"/>
              <w:right w:val="single" w:sz="4" w:space="0" w:color="auto"/>
            </w:tcBorders>
            <w:shd w:val="clear" w:color="auto" w:fill="auto"/>
            <w:noWrap/>
            <w:vAlign w:val="center"/>
            <w:hideMark/>
          </w:tcPr>
          <w:p w14:paraId="06D0E180"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276" w:type="dxa"/>
            <w:tcBorders>
              <w:top w:val="nil"/>
              <w:left w:val="nil"/>
              <w:bottom w:val="single" w:sz="4" w:space="0" w:color="auto"/>
              <w:right w:val="single" w:sz="4" w:space="0" w:color="auto"/>
            </w:tcBorders>
            <w:shd w:val="clear" w:color="auto" w:fill="auto"/>
            <w:noWrap/>
            <w:vAlign w:val="center"/>
            <w:hideMark/>
          </w:tcPr>
          <w:p w14:paraId="16679EAE"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559" w:type="dxa"/>
            <w:tcBorders>
              <w:top w:val="nil"/>
              <w:left w:val="nil"/>
              <w:bottom w:val="single" w:sz="4" w:space="0" w:color="auto"/>
              <w:right w:val="single" w:sz="4" w:space="0" w:color="auto"/>
            </w:tcBorders>
            <w:shd w:val="clear" w:color="auto" w:fill="auto"/>
            <w:noWrap/>
            <w:vAlign w:val="center"/>
            <w:hideMark/>
          </w:tcPr>
          <w:p w14:paraId="203F2F03" w14:textId="77777777" w:rsidR="00FB60A4" w:rsidRPr="00D358AE" w:rsidRDefault="00FB60A4" w:rsidP="00BA1D25">
            <w:pPr>
              <w:spacing w:after="0"/>
              <w:jc w:val="center"/>
              <w:rPr>
                <w:rFonts w:ascii="Times New Roman" w:eastAsia="Times New Roman" w:hAnsi="Times New Roman"/>
                <w:color w:val="000000"/>
                <w:sz w:val="16"/>
                <w:szCs w:val="16"/>
                <w:highlight w:val="cyan"/>
                <w:lang w:val="en-HK"/>
              </w:rPr>
            </w:pPr>
            <w:r w:rsidRPr="00D358AE">
              <w:rPr>
                <w:rFonts w:ascii="Times New Roman" w:eastAsia="Times New Roman" w:hAnsi="Times New Roman"/>
                <w:color w:val="000000"/>
                <w:sz w:val="16"/>
                <w:szCs w:val="16"/>
                <w:highlight w:val="cyan"/>
                <w:lang w:val="en-HK"/>
              </w:rPr>
              <w:t>Low</w:t>
            </w:r>
          </w:p>
        </w:tc>
        <w:tc>
          <w:tcPr>
            <w:tcW w:w="1560" w:type="dxa"/>
            <w:tcBorders>
              <w:top w:val="nil"/>
              <w:left w:val="nil"/>
              <w:bottom w:val="single" w:sz="4" w:space="0" w:color="auto"/>
              <w:right w:val="single" w:sz="4" w:space="0" w:color="auto"/>
            </w:tcBorders>
            <w:shd w:val="clear" w:color="auto" w:fill="auto"/>
            <w:noWrap/>
            <w:vAlign w:val="center"/>
            <w:hideMark/>
          </w:tcPr>
          <w:p w14:paraId="32FB499A" w14:textId="77777777" w:rsidR="00FB60A4" w:rsidRPr="00FB60A4" w:rsidRDefault="00FB60A4" w:rsidP="00BA1D25">
            <w:pPr>
              <w:spacing w:after="0"/>
              <w:jc w:val="center"/>
              <w:rPr>
                <w:rFonts w:ascii="Times New Roman" w:eastAsia="Times New Roman" w:hAnsi="Times New Roman"/>
                <w:color w:val="000000"/>
                <w:sz w:val="16"/>
                <w:szCs w:val="16"/>
                <w:lang w:val="en-HK"/>
              </w:rPr>
            </w:pPr>
            <w:r w:rsidRPr="00FB60A4">
              <w:rPr>
                <w:rFonts w:ascii="Times New Roman" w:eastAsia="Times New Roman" w:hAnsi="Times New Roman"/>
                <w:color w:val="000000"/>
                <w:sz w:val="16"/>
                <w:szCs w:val="16"/>
                <w:lang w:val="en-HK"/>
              </w:rPr>
              <w:t>Low</w:t>
            </w:r>
          </w:p>
        </w:tc>
      </w:tr>
    </w:tbl>
    <w:p w14:paraId="352C10E7" w14:textId="77777777" w:rsidR="00954839" w:rsidRDefault="00954839" w:rsidP="00BA1D25">
      <w:pPr>
        <w:rPr>
          <w:rFonts w:ascii="Times New Roman" w:hAnsi="Times New Roman"/>
          <w:u w:val="single"/>
        </w:rPr>
      </w:pPr>
    </w:p>
    <w:p w14:paraId="1E703DC7" w14:textId="3CE4EB85" w:rsidR="00FB60A4" w:rsidRPr="00AE67EF" w:rsidRDefault="00FB60A4" w:rsidP="00BA1D25">
      <w:pPr>
        <w:rPr>
          <w:rFonts w:ascii="Times New Roman" w:hAnsi="Times New Roman"/>
          <w:u w:val="single"/>
        </w:rPr>
      </w:pPr>
      <w:r w:rsidRPr="00AE67EF">
        <w:rPr>
          <w:rFonts w:ascii="Times New Roman" w:hAnsi="Times New Roman"/>
          <w:u w:val="single"/>
        </w:rPr>
        <w:t xml:space="preserve">Low Dimension Representation Variables </w:t>
      </w:r>
    </w:p>
    <w:p w14:paraId="505C3BC9" w14:textId="77777777" w:rsidR="00FB60A4" w:rsidRDefault="00FB60A4" w:rsidP="00BA1D25">
      <w:pPr>
        <w:rPr>
          <w:rFonts w:ascii="Times New Roman" w:hAnsi="Times New Roman"/>
        </w:rPr>
      </w:pPr>
      <w:r>
        <w:rPr>
          <w:rFonts w:ascii="Times New Roman" w:hAnsi="Times New Roman"/>
        </w:rPr>
        <w:t xml:space="preserve">It was observed that the x-axis of the t-SNE scatterplot is related to relevant job opportunities, as higher % of resident working in professional occupations and information and communication industries would result in higher value in x-axis. </w:t>
      </w:r>
    </w:p>
    <w:p w14:paraId="21C46BEF" w14:textId="295409DA" w:rsidR="00314A98" w:rsidRDefault="00FB60A4" w:rsidP="00BA1D25">
      <w:pPr>
        <w:rPr>
          <w:rFonts w:ascii="Times New Roman" w:hAnsi="Times New Roman"/>
        </w:rPr>
      </w:pPr>
      <w:r>
        <w:rPr>
          <w:rFonts w:ascii="Times New Roman" w:hAnsi="Times New Roman"/>
        </w:rPr>
        <w:t>On the other hand, y-axis of the t-SNE scatter plot is related to age and unemployment, as higher proportion of population aged 25-34, higher proportion of unmarried population aged 25-34, and higher unemployment rate could result in higher value in y-axis.</w:t>
      </w:r>
    </w:p>
    <w:p w14:paraId="61947987" w14:textId="77777777" w:rsidR="00954839" w:rsidRDefault="00954839" w:rsidP="00BA1D25">
      <w:pPr>
        <w:rPr>
          <w:rFonts w:ascii="Times New Roman" w:hAnsi="Times New Roman"/>
        </w:rPr>
      </w:pPr>
    </w:p>
    <w:p w14:paraId="442D4BA4" w14:textId="5DBF7F30" w:rsidR="00D358AE" w:rsidRPr="00954839" w:rsidRDefault="00857383" w:rsidP="00BA1D25">
      <w:pPr>
        <w:rPr>
          <w:rFonts w:ascii="Times New Roman" w:hAnsi="Times New Roman"/>
          <w:b/>
          <w:bCs/>
        </w:rPr>
      </w:pPr>
      <w:r>
        <w:rPr>
          <w:rFonts w:ascii="Times New Roman" w:hAnsi="Times New Roman"/>
          <w:b/>
          <w:bCs/>
        </w:rPr>
        <w:t>4</w:t>
      </w:r>
      <w:r w:rsidR="00954839" w:rsidRPr="00954839">
        <w:rPr>
          <w:rFonts w:ascii="Times New Roman" w:hAnsi="Times New Roman"/>
          <w:b/>
          <w:bCs/>
        </w:rPr>
        <w:t xml:space="preserve">.2 </w:t>
      </w:r>
      <w:r w:rsidR="00D358AE" w:rsidRPr="00954839">
        <w:rPr>
          <w:rFonts w:ascii="Times New Roman" w:hAnsi="Times New Roman"/>
          <w:b/>
          <w:bCs/>
        </w:rPr>
        <w:t>Other visualization techniques</w:t>
      </w:r>
    </w:p>
    <w:p w14:paraId="46419969" w14:textId="2D508A2B" w:rsidR="00C21298" w:rsidRDefault="00314A98" w:rsidP="00BA1D25">
      <w:pPr>
        <w:rPr>
          <w:rFonts w:ascii="Times New Roman" w:hAnsi="Times New Roman"/>
        </w:rPr>
      </w:pPr>
      <w:r w:rsidRPr="00954839">
        <w:rPr>
          <w:rFonts w:ascii="Times New Roman" w:hAnsi="Times New Roman"/>
          <w:u w:val="single"/>
        </w:rPr>
        <w:t>Tooltip</w:t>
      </w:r>
      <w:r w:rsidR="00D358AE">
        <w:rPr>
          <w:rFonts w:ascii="Times New Roman" w:hAnsi="Times New Roman"/>
        </w:rPr>
        <w:t xml:space="preserve">: </w:t>
      </w:r>
      <w:r w:rsidR="004372CF">
        <w:rPr>
          <w:rFonts w:ascii="Times New Roman" w:hAnsi="Times New Roman"/>
        </w:rPr>
        <w:t xml:space="preserve">On the “Overview” and “Clustering” dashboards, a bar chart/table pop ups immediately when the cursor hovers above the local authority on the map. The bar chart/table contains distribution/values about the local authority to be compared with the bar chart on the same dashboard but at overall/cluster level. </w:t>
      </w:r>
      <w:r w:rsidR="001C3BF4">
        <w:rPr>
          <w:rFonts w:ascii="Times New Roman" w:hAnsi="Times New Roman"/>
        </w:rPr>
        <w:t>The aim of using tooltip is to provide a quick and intuitive way of comparison to lower the cost of memor</w:t>
      </w:r>
      <w:r w:rsidR="00AA7912">
        <w:rPr>
          <w:rFonts w:ascii="Times New Roman" w:hAnsi="Times New Roman"/>
        </w:rPr>
        <w:t>y</w:t>
      </w:r>
      <w:r w:rsidR="001C3BF4">
        <w:rPr>
          <w:rFonts w:ascii="Times New Roman" w:hAnsi="Times New Roman"/>
        </w:rPr>
        <w:t xml:space="preserve">, instead of requiring users to memorise figures across </w:t>
      </w:r>
      <w:r w:rsidR="00AA7912">
        <w:rPr>
          <w:rFonts w:ascii="Times New Roman" w:hAnsi="Times New Roman"/>
        </w:rPr>
        <w:t>figures/</w:t>
      </w:r>
      <w:r w:rsidR="001C3BF4">
        <w:rPr>
          <w:rFonts w:ascii="Times New Roman" w:hAnsi="Times New Roman"/>
        </w:rPr>
        <w:t>dashboards for comparison.</w:t>
      </w:r>
    </w:p>
    <w:p w14:paraId="18E211DA" w14:textId="6F736280" w:rsidR="00314A98" w:rsidRDefault="00314A98" w:rsidP="00BA1D25">
      <w:pPr>
        <w:rPr>
          <w:rFonts w:ascii="Times New Roman" w:hAnsi="Times New Roman"/>
        </w:rPr>
      </w:pPr>
      <w:r w:rsidRPr="00954839">
        <w:rPr>
          <w:rFonts w:ascii="Times New Roman" w:hAnsi="Times New Roman"/>
          <w:u w:val="single"/>
        </w:rPr>
        <w:t>Highlighting</w:t>
      </w:r>
      <w:r w:rsidR="001C3BF4">
        <w:rPr>
          <w:rFonts w:ascii="Times New Roman" w:hAnsi="Times New Roman"/>
        </w:rPr>
        <w:t xml:space="preserve">: </w:t>
      </w:r>
      <w:r w:rsidR="00E13B83">
        <w:rPr>
          <w:rFonts w:ascii="Times New Roman" w:hAnsi="Times New Roman"/>
        </w:rPr>
        <w:t>On the “Over</w:t>
      </w:r>
      <w:r w:rsidR="00DC7490">
        <w:rPr>
          <w:rFonts w:ascii="Times New Roman" w:hAnsi="Times New Roman"/>
        </w:rPr>
        <w:t>view” dashboards, hovering on the local authority on the map will highlight the corresponding local authority on the top/bottom bar chart (if that local authority is included in the bar chart), and vice versa. On the “clustering” dashboard hovering on the local authority on the map</w:t>
      </w:r>
      <w:r w:rsidR="00A3408D">
        <w:rPr>
          <w:rFonts w:ascii="Times New Roman" w:hAnsi="Times New Roman"/>
        </w:rPr>
        <w:t>,</w:t>
      </w:r>
      <w:r w:rsidR="00DC7490">
        <w:rPr>
          <w:rFonts w:ascii="Times New Roman" w:hAnsi="Times New Roman"/>
        </w:rPr>
        <w:t xml:space="preserve"> or the point on the scatterplot will highlight the corresponding local authority on the map</w:t>
      </w:r>
      <w:r w:rsidR="00A3408D">
        <w:rPr>
          <w:rFonts w:ascii="Times New Roman" w:hAnsi="Times New Roman"/>
        </w:rPr>
        <w:t xml:space="preserve">, on </w:t>
      </w:r>
      <w:r w:rsidR="00DC7490">
        <w:rPr>
          <w:rFonts w:ascii="Times New Roman" w:hAnsi="Times New Roman"/>
        </w:rPr>
        <w:t xml:space="preserve">the scatterplot, and the corresponding cluster on the bar chart. The </w:t>
      </w:r>
      <w:r w:rsidR="00DC7490" w:rsidRPr="00DC7490">
        <w:rPr>
          <w:rFonts w:ascii="Times New Roman" w:hAnsi="Times New Roman"/>
        </w:rPr>
        <w:t>extensive use</w:t>
      </w:r>
      <w:r w:rsidR="00DC7490">
        <w:rPr>
          <w:rFonts w:ascii="Times New Roman" w:hAnsi="Times New Roman"/>
        </w:rPr>
        <w:t xml:space="preserve"> of highlighting is to guide user to know what figures/location to </w:t>
      </w:r>
      <w:r w:rsidR="00C00698">
        <w:rPr>
          <w:rFonts w:ascii="Times New Roman" w:hAnsi="Times New Roman"/>
        </w:rPr>
        <w:t xml:space="preserve">find corresponding information and figures to </w:t>
      </w:r>
      <w:r w:rsidR="00DC7490">
        <w:rPr>
          <w:rFonts w:ascii="Times New Roman" w:hAnsi="Times New Roman"/>
        </w:rPr>
        <w:t xml:space="preserve">compare, which lower the cost of attention. </w:t>
      </w:r>
    </w:p>
    <w:p w14:paraId="3CFB81A3" w14:textId="0BC44965" w:rsidR="00314A98" w:rsidRDefault="00314A98" w:rsidP="00BA1D25">
      <w:pPr>
        <w:rPr>
          <w:rFonts w:ascii="Times New Roman" w:hAnsi="Times New Roman"/>
        </w:rPr>
      </w:pPr>
      <w:r w:rsidRPr="00A3408D">
        <w:rPr>
          <w:rFonts w:ascii="Times New Roman" w:hAnsi="Times New Roman"/>
          <w:u w:val="single"/>
        </w:rPr>
        <w:t>Filtering</w:t>
      </w:r>
      <w:r w:rsidR="00C00698">
        <w:rPr>
          <w:rFonts w:ascii="Times New Roman" w:hAnsi="Times New Roman"/>
        </w:rPr>
        <w:t xml:space="preserve">: The “Overview” dashboards provide </w:t>
      </w:r>
      <w:r w:rsidR="00D71E85">
        <w:rPr>
          <w:rFonts w:ascii="Times New Roman" w:hAnsi="Times New Roman"/>
        </w:rPr>
        <w:t xml:space="preserve">an option for users to switch between </w:t>
      </w:r>
      <w:r w:rsidR="00C00698">
        <w:rPr>
          <w:rFonts w:ascii="Times New Roman" w:hAnsi="Times New Roman"/>
        </w:rPr>
        <w:t xml:space="preserve">%/absolute </w:t>
      </w:r>
      <w:r w:rsidR="00D71E85">
        <w:rPr>
          <w:rFonts w:ascii="Times New Roman" w:hAnsi="Times New Roman"/>
        </w:rPr>
        <w:t>values. Also, after</w:t>
      </w:r>
      <w:r w:rsidR="00C00698">
        <w:rPr>
          <w:rFonts w:ascii="Times New Roman" w:hAnsi="Times New Roman"/>
        </w:rPr>
        <w:t xml:space="preserve"> knowing which cluster is the target in the “Clustering” dashboards, users can go back to the </w:t>
      </w:r>
      <w:r w:rsidR="00D71E85">
        <w:rPr>
          <w:rFonts w:ascii="Times New Roman" w:hAnsi="Times New Roman"/>
        </w:rPr>
        <w:t xml:space="preserve">“Overview” dashboards and select the target cluster in the cluster filter to narrow down the choices of local authorities to help their decision making. The use of filter in the dashboard is to control the number of dashboards and charts </w:t>
      </w:r>
      <w:r w:rsidR="00C52955">
        <w:rPr>
          <w:rFonts w:ascii="Times New Roman" w:hAnsi="Times New Roman"/>
        </w:rPr>
        <w:t xml:space="preserve">for </w:t>
      </w:r>
      <w:r w:rsidR="00C52955" w:rsidRPr="00C52955">
        <w:rPr>
          <w:rFonts w:ascii="Times New Roman" w:hAnsi="Times New Roman"/>
        </w:rPr>
        <w:t>easier navigation</w:t>
      </w:r>
      <w:r w:rsidR="00C52955">
        <w:rPr>
          <w:rFonts w:ascii="Times New Roman" w:hAnsi="Times New Roman"/>
        </w:rPr>
        <w:t xml:space="preserve"> </w:t>
      </w:r>
      <w:r w:rsidR="00D71E85">
        <w:rPr>
          <w:rFonts w:ascii="Times New Roman" w:hAnsi="Times New Roman"/>
        </w:rPr>
        <w:t>without losing information.</w:t>
      </w:r>
    </w:p>
    <w:p w14:paraId="78C22627" w14:textId="4B9B18A6" w:rsidR="00314A98" w:rsidRDefault="00314A98" w:rsidP="00BA1D25">
      <w:pPr>
        <w:rPr>
          <w:rFonts w:ascii="Times New Roman" w:hAnsi="Times New Roman"/>
        </w:rPr>
      </w:pPr>
      <w:r w:rsidRPr="00C52955">
        <w:rPr>
          <w:rFonts w:ascii="Times New Roman" w:hAnsi="Times New Roman"/>
          <w:u w:val="single"/>
        </w:rPr>
        <w:t>Top</w:t>
      </w:r>
      <w:r w:rsidR="00D71E85" w:rsidRPr="00C52955">
        <w:rPr>
          <w:rFonts w:ascii="Times New Roman" w:hAnsi="Times New Roman"/>
          <w:u w:val="single"/>
        </w:rPr>
        <w:t>/</w:t>
      </w:r>
      <w:r w:rsidRPr="00C52955">
        <w:rPr>
          <w:rFonts w:ascii="Times New Roman" w:hAnsi="Times New Roman"/>
          <w:u w:val="single"/>
        </w:rPr>
        <w:t>bottom</w:t>
      </w:r>
      <w:r w:rsidR="00D71E85" w:rsidRPr="00C52955">
        <w:rPr>
          <w:rFonts w:ascii="Times New Roman" w:hAnsi="Times New Roman"/>
          <w:u w:val="single"/>
        </w:rPr>
        <w:t xml:space="preserve"> bar chart</w:t>
      </w:r>
      <w:r w:rsidR="00D71E85">
        <w:rPr>
          <w:rFonts w:ascii="Times New Roman" w:hAnsi="Times New Roman"/>
        </w:rPr>
        <w:t xml:space="preserve">: </w:t>
      </w:r>
      <w:r w:rsidR="00374B36">
        <w:rPr>
          <w:rFonts w:ascii="Times New Roman" w:hAnsi="Times New Roman"/>
        </w:rPr>
        <w:t xml:space="preserve">The bar chart </w:t>
      </w:r>
      <w:r w:rsidR="003F0A83">
        <w:rPr>
          <w:rFonts w:ascii="Times New Roman" w:hAnsi="Times New Roman"/>
        </w:rPr>
        <w:t>shows</w:t>
      </w:r>
      <w:r w:rsidR="00374B36">
        <w:rPr>
          <w:rFonts w:ascii="Times New Roman" w:hAnsi="Times New Roman"/>
        </w:rPr>
        <w:t xml:space="preserve"> the top and bottom local authorities of the corresponding relevant variable, which save users’ time, memory and attention to search for top local authority on the map.</w:t>
      </w:r>
    </w:p>
    <w:p w14:paraId="55954CE7" w14:textId="774E0FDA" w:rsidR="00314A98" w:rsidRDefault="00374B36" w:rsidP="00BA1D25">
      <w:pPr>
        <w:rPr>
          <w:rFonts w:ascii="Times New Roman" w:hAnsi="Times New Roman"/>
        </w:rPr>
      </w:pPr>
      <w:r w:rsidRPr="003F0A83">
        <w:rPr>
          <w:rFonts w:ascii="Times New Roman" w:hAnsi="Times New Roman"/>
          <w:u w:val="single"/>
        </w:rPr>
        <w:lastRenderedPageBreak/>
        <w:t>Colour</w:t>
      </w:r>
      <w:r>
        <w:rPr>
          <w:rFonts w:ascii="Times New Roman" w:hAnsi="Times New Roman"/>
        </w:rPr>
        <w:t xml:space="preserve">: </w:t>
      </w:r>
      <w:r>
        <w:rPr>
          <w:rFonts w:ascii="Times New Roman" w:hAnsi="Times New Roman"/>
          <w:lang w:val="en-US"/>
        </w:rPr>
        <w:t xml:space="preserve">The values on the map are </w:t>
      </w:r>
      <w:r w:rsidRPr="00DB4991">
        <w:rPr>
          <w:rFonts w:ascii="Times New Roman" w:hAnsi="Times New Roman"/>
          <w:u w:val="single"/>
          <w:lang w:val="en-US"/>
        </w:rPr>
        <w:t>encoded</w:t>
      </w:r>
      <w:r>
        <w:rPr>
          <w:rFonts w:ascii="Times New Roman" w:hAnsi="Times New Roman"/>
          <w:lang w:val="en-US"/>
        </w:rPr>
        <w:t xml:space="preserve"> </w:t>
      </w:r>
      <w:r w:rsidRPr="00C458D7">
        <w:rPr>
          <w:rFonts w:ascii="Times New Roman" w:hAnsi="Times New Roman"/>
        </w:rPr>
        <w:t xml:space="preserve">in </w:t>
      </w:r>
      <w:r w:rsidRPr="00D45464">
        <w:rPr>
          <w:rFonts w:ascii="Times New Roman" w:hAnsi="Times New Roman"/>
          <w:u w:val="single"/>
        </w:rPr>
        <w:t>diverging colourmaps</w:t>
      </w:r>
      <w:r w:rsidRPr="00C458D7">
        <w:rPr>
          <w:rFonts w:ascii="Times New Roman" w:hAnsi="Times New Roman"/>
        </w:rPr>
        <w:t xml:space="preserve"> with </w:t>
      </w:r>
      <w:r>
        <w:rPr>
          <w:rFonts w:ascii="Times New Roman" w:hAnsi="Times New Roman"/>
        </w:rPr>
        <w:t>orange/red representing high. As high value is the most important for users to decide where to live in/avoid, using the most distinct colour to represent the value can draw user attention.</w:t>
      </w:r>
    </w:p>
    <w:p w14:paraId="19B9B8B7" w14:textId="77777777" w:rsidR="003F0A83" w:rsidRPr="008D2C06" w:rsidRDefault="003F0A83" w:rsidP="00BA1D25">
      <w:pPr>
        <w:rPr>
          <w:rFonts w:ascii="Times New Roman" w:hAnsi="Times New Roman"/>
        </w:rPr>
      </w:pPr>
    </w:p>
    <w:p w14:paraId="3EA3E770" w14:textId="555F0A00" w:rsidR="00C30935" w:rsidRPr="003F0A83" w:rsidRDefault="00C30935" w:rsidP="00BA1D25">
      <w:pPr>
        <w:pStyle w:val="Heading1"/>
        <w:numPr>
          <w:ilvl w:val="0"/>
          <w:numId w:val="12"/>
        </w:numPr>
        <w:rPr>
          <w:rFonts w:ascii="Times New Roman" w:hAnsi="Times New Roman" w:cs="Times New Roman"/>
          <w:b/>
          <w:bCs/>
          <w:sz w:val="24"/>
          <w:szCs w:val="24"/>
        </w:rPr>
      </w:pPr>
      <w:r w:rsidRPr="003F0A83">
        <w:rPr>
          <w:rFonts w:ascii="Times New Roman" w:hAnsi="Times New Roman" w:cs="Times New Roman"/>
          <w:b/>
          <w:bCs/>
          <w:sz w:val="24"/>
          <w:szCs w:val="24"/>
        </w:rPr>
        <w:t>Conclusion</w:t>
      </w:r>
    </w:p>
    <w:p w14:paraId="38FE8E08" w14:textId="5F812F69" w:rsidR="00B94845" w:rsidRPr="003F0A83" w:rsidRDefault="003F0A83" w:rsidP="00BA1D25">
      <w:pPr>
        <w:pStyle w:val="ListBullet"/>
        <w:numPr>
          <w:ilvl w:val="0"/>
          <w:numId w:val="0"/>
        </w:numPr>
        <w:rPr>
          <w:rFonts w:ascii="Times New Roman" w:hAnsi="Times New Roman"/>
          <w:b/>
          <w:bCs/>
        </w:rPr>
      </w:pPr>
      <w:r w:rsidRPr="003F0A83">
        <w:rPr>
          <w:rFonts w:ascii="Times New Roman" w:hAnsi="Times New Roman"/>
          <w:b/>
          <w:bCs/>
        </w:rPr>
        <w:t xml:space="preserve">6.1 </w:t>
      </w:r>
      <w:r w:rsidR="00B94845" w:rsidRPr="003F0A83">
        <w:rPr>
          <w:rFonts w:ascii="Times New Roman" w:hAnsi="Times New Roman"/>
          <w:b/>
          <w:bCs/>
        </w:rPr>
        <w:t>Socio-economic aspect</w:t>
      </w:r>
    </w:p>
    <w:p w14:paraId="52388D9C" w14:textId="2B7A0627" w:rsidR="00B94845" w:rsidRDefault="00B94845" w:rsidP="00BA1D25">
      <w:pPr>
        <w:pStyle w:val="ListBullet"/>
        <w:numPr>
          <w:ilvl w:val="0"/>
          <w:numId w:val="34"/>
        </w:numPr>
        <w:rPr>
          <w:rFonts w:ascii="Times New Roman" w:hAnsi="Times New Roman"/>
        </w:rPr>
      </w:pPr>
      <w:r>
        <w:rPr>
          <w:rFonts w:ascii="Times New Roman" w:hAnsi="Times New Roman"/>
        </w:rPr>
        <w:t>The local authorities in the target clusters are mostly located in London/South</w:t>
      </w:r>
      <w:r w:rsidR="00F83959">
        <w:rPr>
          <w:rFonts w:ascii="Times New Roman" w:hAnsi="Times New Roman"/>
        </w:rPr>
        <w:t xml:space="preserve"> E</w:t>
      </w:r>
      <w:r>
        <w:rPr>
          <w:rFonts w:ascii="Times New Roman" w:hAnsi="Times New Roman"/>
        </w:rPr>
        <w:t>ast regions</w:t>
      </w:r>
      <w:r w:rsidR="003F0A83">
        <w:rPr>
          <w:rFonts w:ascii="Times New Roman" w:hAnsi="Times New Roman"/>
        </w:rPr>
        <w:t>, which consists of</w:t>
      </w:r>
      <w:r w:rsidR="00F83959">
        <w:rPr>
          <w:rFonts w:ascii="Times New Roman" w:hAnsi="Times New Roman"/>
        </w:rPr>
        <w:t xml:space="preserve"> 55 out of 85 (65%) local authorities in the target clusters (London=29, South East=26). If Eas</w:t>
      </w:r>
      <w:r w:rsidR="003F0A83">
        <w:rPr>
          <w:rFonts w:ascii="Times New Roman" w:hAnsi="Times New Roman"/>
        </w:rPr>
        <w:t>t</w:t>
      </w:r>
      <w:r w:rsidR="00F83959">
        <w:rPr>
          <w:rFonts w:ascii="Times New Roman" w:hAnsi="Times New Roman"/>
        </w:rPr>
        <w:t xml:space="preserve"> of England is also included, the proportion is increased to 66 out of 85 (78%). It could be concluded that </w:t>
      </w:r>
      <w:r w:rsidR="003F0A83">
        <w:rPr>
          <w:rFonts w:ascii="Times New Roman" w:hAnsi="Times New Roman"/>
        </w:rPr>
        <w:t>top local authorities</w:t>
      </w:r>
      <w:r w:rsidR="00F83959">
        <w:rPr>
          <w:rFonts w:ascii="Times New Roman" w:hAnsi="Times New Roman"/>
        </w:rPr>
        <w:t xml:space="preserve"> for the users were concentrated around London area.</w:t>
      </w:r>
    </w:p>
    <w:p w14:paraId="589F4B71" w14:textId="77777777" w:rsidR="003F0A83" w:rsidRDefault="003F0A83" w:rsidP="00BA1D25">
      <w:pPr>
        <w:pStyle w:val="ListBullet"/>
        <w:numPr>
          <w:ilvl w:val="0"/>
          <w:numId w:val="0"/>
        </w:numPr>
        <w:ind w:left="720"/>
        <w:rPr>
          <w:rFonts w:ascii="Times New Roman" w:hAnsi="Times New Roman"/>
        </w:rPr>
      </w:pPr>
    </w:p>
    <w:p w14:paraId="71A10585" w14:textId="1E0AD2D4" w:rsidR="00F83959" w:rsidRDefault="00F83959" w:rsidP="00BA1D25">
      <w:pPr>
        <w:pStyle w:val="ListBullet"/>
        <w:numPr>
          <w:ilvl w:val="0"/>
          <w:numId w:val="34"/>
        </w:numPr>
        <w:rPr>
          <w:rFonts w:ascii="Times New Roman" w:hAnsi="Times New Roman"/>
        </w:rPr>
      </w:pPr>
      <w:r>
        <w:rPr>
          <w:rFonts w:ascii="Times New Roman" w:hAnsi="Times New Roman"/>
        </w:rPr>
        <w:t xml:space="preserve">It might not be worthwhile to live in local authorities in the target clusters that </w:t>
      </w:r>
      <w:r w:rsidR="003F0A83">
        <w:rPr>
          <w:rFonts w:ascii="Times New Roman" w:hAnsi="Times New Roman"/>
        </w:rPr>
        <w:t>are</w:t>
      </w:r>
      <w:r>
        <w:rPr>
          <w:rFonts w:ascii="Times New Roman" w:hAnsi="Times New Roman"/>
        </w:rPr>
        <w:t xml:space="preserve"> far from London. These local authorities </w:t>
      </w:r>
      <w:r w:rsidR="00F2116B">
        <w:rPr>
          <w:rFonts w:ascii="Times New Roman" w:hAnsi="Times New Roman"/>
        </w:rPr>
        <w:t>do</w:t>
      </w:r>
      <w:r>
        <w:rPr>
          <w:rFonts w:ascii="Times New Roman" w:hAnsi="Times New Roman"/>
        </w:rPr>
        <w:t xml:space="preserve"> not have many neighbouring local authorities in the same target cluster</w:t>
      </w:r>
      <w:r w:rsidR="00AA1EEC">
        <w:rPr>
          <w:rFonts w:ascii="Times New Roman" w:hAnsi="Times New Roman"/>
        </w:rPr>
        <w:t xml:space="preserve"> (the highest number is 4 in Greater Manchester)</w:t>
      </w:r>
      <w:r>
        <w:rPr>
          <w:rFonts w:ascii="Times New Roman" w:hAnsi="Times New Roman"/>
        </w:rPr>
        <w:t xml:space="preserve">, so users may not be benefited from relevant job opportunities and have friends of similar age range from neighbouring local authorities, while </w:t>
      </w:r>
      <w:r w:rsidR="00AA1EEC">
        <w:rPr>
          <w:rFonts w:ascii="Times New Roman" w:hAnsi="Times New Roman"/>
        </w:rPr>
        <w:t xml:space="preserve">they can have </w:t>
      </w:r>
      <w:r w:rsidR="00A75F5A">
        <w:rPr>
          <w:rFonts w:ascii="Times New Roman" w:hAnsi="Times New Roman"/>
        </w:rPr>
        <w:t>these advantages</w:t>
      </w:r>
      <w:r w:rsidR="00AA1EEC">
        <w:rPr>
          <w:rFonts w:ascii="Times New Roman" w:hAnsi="Times New Roman"/>
        </w:rPr>
        <w:t xml:space="preserve"> in </w:t>
      </w:r>
      <w:r>
        <w:rPr>
          <w:rFonts w:ascii="Times New Roman" w:hAnsi="Times New Roman"/>
        </w:rPr>
        <w:t xml:space="preserve">local authorities around </w:t>
      </w:r>
      <w:r w:rsidR="00AA1EEC">
        <w:rPr>
          <w:rFonts w:ascii="Times New Roman" w:hAnsi="Times New Roman"/>
        </w:rPr>
        <w:t>London</w:t>
      </w:r>
      <w:r>
        <w:rPr>
          <w:rFonts w:ascii="Times New Roman" w:hAnsi="Times New Roman"/>
        </w:rPr>
        <w:t>.</w:t>
      </w:r>
    </w:p>
    <w:p w14:paraId="05218781" w14:textId="77777777" w:rsidR="003F0A83" w:rsidRDefault="003F0A83" w:rsidP="00BA1D25">
      <w:pPr>
        <w:pStyle w:val="ListBullet"/>
        <w:numPr>
          <w:ilvl w:val="0"/>
          <w:numId w:val="0"/>
        </w:numPr>
        <w:ind w:left="360" w:hanging="360"/>
        <w:rPr>
          <w:rFonts w:ascii="Times New Roman" w:hAnsi="Times New Roman"/>
        </w:rPr>
      </w:pPr>
    </w:p>
    <w:p w14:paraId="0A63C863" w14:textId="6A8CC0B7" w:rsidR="0045600C" w:rsidRDefault="0045600C" w:rsidP="00BA1D25">
      <w:pPr>
        <w:pStyle w:val="ListBullet"/>
        <w:numPr>
          <w:ilvl w:val="0"/>
          <w:numId w:val="34"/>
        </w:numPr>
        <w:rPr>
          <w:rFonts w:ascii="Times New Roman" w:hAnsi="Times New Roman"/>
        </w:rPr>
      </w:pPr>
      <w:r>
        <w:rPr>
          <w:rFonts w:ascii="Times New Roman" w:hAnsi="Times New Roman"/>
        </w:rPr>
        <w:t xml:space="preserve">Low unemployment rate and higher proportion of population in similar age range should not be overly pursued. </w:t>
      </w:r>
      <w:r w:rsidR="00053781">
        <w:rPr>
          <w:rFonts w:ascii="Times New Roman" w:hAnsi="Times New Roman"/>
        </w:rPr>
        <w:t>From one of the low dimension representation variables, it was discovered that unemployment rate was positively correlated with the proportion of population aged 25-34. Therefore, a balance between the two requirements should be achieved, as a local authority that did well in one aspect was likely to be awful in another aspect.</w:t>
      </w:r>
    </w:p>
    <w:p w14:paraId="159CCBEA" w14:textId="77777777" w:rsidR="0045600C" w:rsidRDefault="0045600C" w:rsidP="00BA1D25">
      <w:pPr>
        <w:pStyle w:val="ListBullet"/>
        <w:numPr>
          <w:ilvl w:val="0"/>
          <w:numId w:val="0"/>
        </w:numPr>
        <w:ind w:left="360" w:hanging="360"/>
        <w:rPr>
          <w:rFonts w:ascii="Times New Roman" w:hAnsi="Times New Roman"/>
        </w:rPr>
      </w:pPr>
    </w:p>
    <w:p w14:paraId="4454DDA5" w14:textId="7A04BAD0" w:rsidR="0045600C" w:rsidRPr="003F0A83" w:rsidRDefault="003F0A83" w:rsidP="00BA1D25">
      <w:pPr>
        <w:pStyle w:val="ListBullet"/>
        <w:numPr>
          <w:ilvl w:val="0"/>
          <w:numId w:val="0"/>
        </w:numPr>
        <w:ind w:left="360" w:hanging="360"/>
        <w:rPr>
          <w:rFonts w:ascii="Times New Roman" w:hAnsi="Times New Roman"/>
          <w:b/>
          <w:bCs/>
        </w:rPr>
      </w:pPr>
      <w:r w:rsidRPr="003F0A83">
        <w:rPr>
          <w:rFonts w:ascii="Times New Roman" w:hAnsi="Times New Roman"/>
          <w:b/>
          <w:bCs/>
        </w:rPr>
        <w:t xml:space="preserve">6.2 </w:t>
      </w:r>
      <w:r w:rsidR="0087671D" w:rsidRPr="003F0A83">
        <w:rPr>
          <w:rFonts w:ascii="Times New Roman" w:hAnsi="Times New Roman"/>
          <w:b/>
          <w:bCs/>
        </w:rPr>
        <w:t>Information visualisation aspect</w:t>
      </w:r>
    </w:p>
    <w:p w14:paraId="6A05DBA3" w14:textId="2046D7D9" w:rsidR="0087671D" w:rsidRDefault="0072181D" w:rsidP="00BA1D25">
      <w:pPr>
        <w:pStyle w:val="ListBullet"/>
        <w:numPr>
          <w:ilvl w:val="0"/>
          <w:numId w:val="35"/>
        </w:numPr>
        <w:rPr>
          <w:rFonts w:ascii="Times New Roman" w:hAnsi="Times New Roman"/>
        </w:rPr>
      </w:pPr>
      <w:r>
        <w:rPr>
          <w:rFonts w:ascii="Times New Roman" w:hAnsi="Times New Roman"/>
        </w:rPr>
        <w:t xml:space="preserve">Data should be selected carefully. Originally health, education and living conditions of the residents were planned to be included in the </w:t>
      </w:r>
      <w:r w:rsidR="00EF4A92">
        <w:rPr>
          <w:rFonts w:ascii="Times New Roman" w:hAnsi="Times New Roman"/>
        </w:rPr>
        <w:t>analysis. However, it was then realized that including too many variables in the analysis would increase the elements to be visualized, thus diverting users’ attention away from the core qualities to decide where to live in. As a result, only five tables were selected for analysis.</w:t>
      </w:r>
    </w:p>
    <w:p w14:paraId="0B124FC6" w14:textId="77777777" w:rsidR="003F0A83" w:rsidRDefault="003F0A83" w:rsidP="00BA1D25">
      <w:pPr>
        <w:pStyle w:val="ListBullet"/>
        <w:numPr>
          <w:ilvl w:val="0"/>
          <w:numId w:val="0"/>
        </w:numPr>
        <w:ind w:left="720"/>
        <w:rPr>
          <w:rFonts w:ascii="Times New Roman" w:hAnsi="Times New Roman"/>
        </w:rPr>
      </w:pPr>
    </w:p>
    <w:p w14:paraId="18F14E73" w14:textId="0F826520" w:rsidR="00EF4A92" w:rsidRDefault="00EF4A92" w:rsidP="00BA1D25">
      <w:pPr>
        <w:pStyle w:val="ListBullet"/>
        <w:numPr>
          <w:ilvl w:val="0"/>
          <w:numId w:val="35"/>
        </w:numPr>
        <w:rPr>
          <w:rFonts w:ascii="Times New Roman" w:hAnsi="Times New Roman"/>
        </w:rPr>
      </w:pPr>
      <w:r>
        <w:rPr>
          <w:rFonts w:ascii="Times New Roman" w:hAnsi="Times New Roman"/>
        </w:rPr>
        <w:t xml:space="preserve">Data quality may be more important than analysis method. The data quality for </w:t>
      </w:r>
      <w:r w:rsidR="003F0A83">
        <w:rPr>
          <w:rFonts w:ascii="Times New Roman" w:hAnsi="Times New Roman"/>
        </w:rPr>
        <w:t xml:space="preserve">this </w:t>
      </w:r>
      <w:r>
        <w:rPr>
          <w:rFonts w:ascii="Times New Roman" w:hAnsi="Times New Roman"/>
        </w:rPr>
        <w:t xml:space="preserve">visualization task is good. The tables were all downloaded from ONS, </w:t>
      </w:r>
      <w:r w:rsidR="00BC6889">
        <w:rPr>
          <w:rFonts w:ascii="Times New Roman" w:hAnsi="Times New Roman"/>
        </w:rPr>
        <w:t xml:space="preserve">so </w:t>
      </w:r>
      <w:r>
        <w:rPr>
          <w:rFonts w:ascii="Times New Roman" w:hAnsi="Times New Roman"/>
        </w:rPr>
        <w:t xml:space="preserve">no missing value was found in the tables. Also, only the core variables that represent users’ requirements were selected. </w:t>
      </w:r>
      <w:r w:rsidR="003F0A83">
        <w:rPr>
          <w:rFonts w:ascii="Times New Roman" w:hAnsi="Times New Roman"/>
        </w:rPr>
        <w:t>Using this dataset as input</w:t>
      </w:r>
      <w:r w:rsidR="00BC6889">
        <w:rPr>
          <w:rFonts w:ascii="Times New Roman" w:hAnsi="Times New Roman"/>
        </w:rPr>
        <w:t xml:space="preserve">, </w:t>
      </w:r>
      <w:r w:rsidRPr="00BC6889">
        <w:rPr>
          <w:rFonts w:ascii="Times New Roman" w:hAnsi="Times New Roman"/>
        </w:rPr>
        <w:t xml:space="preserve">t-SNE and UMAP </w:t>
      </w:r>
      <w:r w:rsidR="00BC6889">
        <w:rPr>
          <w:rFonts w:ascii="Times New Roman" w:hAnsi="Times New Roman"/>
        </w:rPr>
        <w:t>provided almost identical result</w:t>
      </w:r>
      <w:r w:rsidR="00EF401C">
        <w:rPr>
          <w:rFonts w:ascii="Times New Roman" w:hAnsi="Times New Roman"/>
        </w:rPr>
        <w:t>s</w:t>
      </w:r>
      <w:r w:rsidR="00BC6889">
        <w:rPr>
          <w:rFonts w:ascii="Times New Roman" w:hAnsi="Times New Roman"/>
        </w:rPr>
        <w:t>.</w:t>
      </w:r>
      <w:r w:rsidR="00EF401C">
        <w:rPr>
          <w:rFonts w:ascii="Times New Roman" w:hAnsi="Times New Roman"/>
        </w:rPr>
        <w:t xml:space="preserve"> Therefore, as long as the data quality is ensured and the ‘right’ method is used, the effect of using which of the ‘right ‘methods may not be significant.</w:t>
      </w:r>
    </w:p>
    <w:p w14:paraId="6A6D9007" w14:textId="77777777" w:rsidR="003F0A83" w:rsidRDefault="003F0A83" w:rsidP="00BA1D25">
      <w:pPr>
        <w:pStyle w:val="ListBullet"/>
        <w:numPr>
          <w:ilvl w:val="0"/>
          <w:numId w:val="0"/>
        </w:numPr>
        <w:rPr>
          <w:rFonts w:ascii="Times New Roman" w:hAnsi="Times New Roman"/>
        </w:rPr>
      </w:pPr>
    </w:p>
    <w:p w14:paraId="1DD987CE" w14:textId="69649FFA" w:rsidR="00EF401C" w:rsidRDefault="00EF401C" w:rsidP="00BA1D25">
      <w:pPr>
        <w:pStyle w:val="ListBullet"/>
        <w:numPr>
          <w:ilvl w:val="0"/>
          <w:numId w:val="35"/>
        </w:numPr>
        <w:rPr>
          <w:rFonts w:ascii="Times New Roman" w:hAnsi="Times New Roman"/>
        </w:rPr>
      </w:pPr>
      <w:r>
        <w:rPr>
          <w:rFonts w:ascii="Times New Roman" w:hAnsi="Times New Roman"/>
        </w:rPr>
        <w:t>Tooltip and highlighting help guiding users where to pay attention.</w:t>
      </w:r>
      <w:r w:rsidR="004C1A8B">
        <w:rPr>
          <w:rFonts w:ascii="Times New Roman" w:hAnsi="Times New Roman"/>
        </w:rPr>
        <w:t xml:space="preserve"> One of the main </w:t>
      </w:r>
      <w:r w:rsidR="005625DD">
        <w:rPr>
          <w:rFonts w:ascii="Times New Roman" w:hAnsi="Times New Roman"/>
        </w:rPr>
        <w:t>concerns</w:t>
      </w:r>
      <w:r w:rsidR="004C1A8B">
        <w:rPr>
          <w:rFonts w:ascii="Times New Roman" w:hAnsi="Times New Roman"/>
        </w:rPr>
        <w:t xml:space="preserve"> for designing visualization is that users may omit some charts, so that that charts cannot fulfil the</w:t>
      </w:r>
      <w:r w:rsidR="003F0A83">
        <w:rPr>
          <w:rFonts w:ascii="Times New Roman" w:hAnsi="Times New Roman"/>
        </w:rPr>
        <w:t>ir</w:t>
      </w:r>
      <w:r w:rsidR="004C1A8B">
        <w:rPr>
          <w:rFonts w:ascii="Times New Roman" w:hAnsi="Times New Roman"/>
        </w:rPr>
        <w:t xml:space="preserve"> </w:t>
      </w:r>
      <w:r w:rsidR="003F0A83">
        <w:rPr>
          <w:rFonts w:ascii="Times New Roman" w:hAnsi="Times New Roman"/>
        </w:rPr>
        <w:t>designed</w:t>
      </w:r>
      <w:r w:rsidR="004C1A8B">
        <w:rPr>
          <w:rFonts w:ascii="Times New Roman" w:hAnsi="Times New Roman"/>
        </w:rPr>
        <w:t xml:space="preserve"> </w:t>
      </w:r>
      <w:r w:rsidR="003F0A83">
        <w:rPr>
          <w:rFonts w:ascii="Times New Roman" w:hAnsi="Times New Roman"/>
        </w:rPr>
        <w:t>use</w:t>
      </w:r>
      <w:r w:rsidR="004C1A8B">
        <w:rPr>
          <w:rFonts w:ascii="Times New Roman" w:hAnsi="Times New Roman"/>
        </w:rPr>
        <w:t>. Tool</w:t>
      </w:r>
      <w:r w:rsidR="005625DD">
        <w:rPr>
          <w:rFonts w:ascii="Times New Roman" w:hAnsi="Times New Roman"/>
        </w:rPr>
        <w:t>tip and highlighting make the charts stand out when the occasions to use these charts come, thus ensuring the visualization serve the original designed purpose.</w:t>
      </w:r>
    </w:p>
    <w:p w14:paraId="761ED572" w14:textId="77777777" w:rsidR="005625DD" w:rsidRPr="00C61130" w:rsidRDefault="005625DD" w:rsidP="00BA1D25">
      <w:pPr>
        <w:pStyle w:val="ListBullet"/>
        <w:numPr>
          <w:ilvl w:val="0"/>
          <w:numId w:val="0"/>
        </w:numPr>
        <w:ind w:left="360" w:hanging="360"/>
        <w:rPr>
          <w:rFonts w:ascii="Times New Roman" w:hAnsi="Times New Roman"/>
        </w:rPr>
      </w:pPr>
    </w:p>
    <w:p w14:paraId="3BCC15FF" w14:textId="66D7B949" w:rsidR="00EE2ED4" w:rsidRPr="00C61130" w:rsidRDefault="00D73DE4" w:rsidP="00BA1D25">
      <w:pPr>
        <w:pStyle w:val="Heading1"/>
        <w:rPr>
          <w:rFonts w:ascii="Times New Roman" w:hAnsi="Times New Roman" w:cs="Times New Roman"/>
          <w:b/>
          <w:bCs/>
          <w:sz w:val="24"/>
          <w:szCs w:val="24"/>
        </w:rPr>
      </w:pPr>
      <w:r w:rsidRPr="00C61130">
        <w:rPr>
          <w:rFonts w:ascii="Times New Roman" w:hAnsi="Times New Roman" w:cs="Times New Roman"/>
          <w:b/>
          <w:bCs/>
          <w:sz w:val="24"/>
          <w:szCs w:val="24"/>
        </w:rPr>
        <w:t>REFERENCES</w:t>
      </w:r>
    </w:p>
    <w:p w14:paraId="10ADE1F5" w14:textId="66D12425" w:rsidR="00C61130" w:rsidRDefault="00C61130" w:rsidP="00BA1D25">
      <w:pPr>
        <w:pStyle w:val="ListParagraph"/>
        <w:numPr>
          <w:ilvl w:val="0"/>
          <w:numId w:val="36"/>
        </w:numPr>
        <w:rPr>
          <w:rFonts w:ascii="Times New Roman" w:hAnsi="Times New Roman"/>
          <w:szCs w:val="22"/>
        </w:rPr>
      </w:pPr>
      <w:r w:rsidRPr="00C61130">
        <w:rPr>
          <w:rFonts w:ascii="Times New Roman" w:hAnsi="Times New Roman"/>
          <w:szCs w:val="22"/>
        </w:rPr>
        <w:t xml:space="preserve">UK THE OFFICE FOR NATIONAL STATISTICS. SOC 2020 Volume 2: the coding index and coding rules and conventions [Online]. [viewed 18/05/23]. Available from: </w:t>
      </w:r>
      <w:hyperlink r:id="rId15" w:history="1">
        <w:r w:rsidR="00B72522" w:rsidRPr="007548E7">
          <w:rPr>
            <w:rStyle w:val="Hyperlink"/>
            <w:rFonts w:ascii="Times New Roman" w:hAnsi="Times New Roman"/>
            <w:szCs w:val="22"/>
          </w:rPr>
          <w:t>https://www.ons.gov.uk/methodology/classificationsandstandards/standardoccupationalclassificationsoc/soc2020/soc2020volume2codingrulesandconventions</w:t>
        </w:r>
      </w:hyperlink>
    </w:p>
    <w:p w14:paraId="62A421F9" w14:textId="33B101AA" w:rsidR="00B72522" w:rsidRDefault="00B72522" w:rsidP="00BA1D25">
      <w:pPr>
        <w:pStyle w:val="ListParagraph"/>
        <w:numPr>
          <w:ilvl w:val="0"/>
          <w:numId w:val="36"/>
        </w:numPr>
        <w:rPr>
          <w:rFonts w:ascii="Times New Roman" w:hAnsi="Times New Roman"/>
          <w:szCs w:val="22"/>
        </w:rPr>
      </w:pPr>
      <w:r w:rsidRPr="00C61130">
        <w:rPr>
          <w:rFonts w:ascii="Times New Roman" w:hAnsi="Times New Roman"/>
          <w:szCs w:val="22"/>
        </w:rPr>
        <w:t xml:space="preserve">UK THE OFFICE FOR NATIONAL STATISTICS. </w:t>
      </w:r>
      <w:r w:rsidRPr="00B72522">
        <w:rPr>
          <w:rFonts w:ascii="Times New Roman" w:hAnsi="Times New Roman"/>
          <w:szCs w:val="22"/>
        </w:rPr>
        <w:t>UK SIC 2007</w:t>
      </w:r>
      <w:r w:rsidRPr="00C61130">
        <w:rPr>
          <w:rFonts w:ascii="Times New Roman" w:hAnsi="Times New Roman"/>
          <w:szCs w:val="22"/>
        </w:rPr>
        <w:t xml:space="preserve"> [Online]. [viewed 18/05/23]. Available from: </w:t>
      </w:r>
      <w:hyperlink r:id="rId16" w:history="1">
        <w:r w:rsidRPr="007548E7">
          <w:rPr>
            <w:rStyle w:val="Hyperlink"/>
            <w:rFonts w:ascii="Times New Roman" w:hAnsi="Times New Roman"/>
            <w:szCs w:val="22"/>
          </w:rPr>
          <w:t>https://www.ons.gov.uk/methodology/classificationsandstandards/ukstandardindustrialclassificationofeconomicactivities/uksic2007</w:t>
        </w:r>
      </w:hyperlink>
    </w:p>
    <w:p w14:paraId="12FDCBD3" w14:textId="3CF45583" w:rsidR="0037221C" w:rsidRDefault="0037221C" w:rsidP="00BA1D25">
      <w:pPr>
        <w:pStyle w:val="ListParagraph"/>
        <w:numPr>
          <w:ilvl w:val="0"/>
          <w:numId w:val="36"/>
        </w:numPr>
        <w:rPr>
          <w:rFonts w:ascii="Times New Roman" w:hAnsi="Times New Roman"/>
          <w:szCs w:val="22"/>
        </w:rPr>
      </w:pPr>
      <w:r w:rsidRPr="00C61130">
        <w:rPr>
          <w:rFonts w:ascii="Times New Roman" w:hAnsi="Times New Roman"/>
          <w:szCs w:val="22"/>
        </w:rPr>
        <w:lastRenderedPageBreak/>
        <w:t xml:space="preserve">UK THE OFFICE FOR NATIONAL STATISTICS. </w:t>
      </w:r>
      <w:r w:rsidRPr="0037221C">
        <w:rPr>
          <w:rFonts w:ascii="Times New Roman" w:hAnsi="Times New Roman"/>
          <w:szCs w:val="22"/>
        </w:rPr>
        <w:t xml:space="preserve">Ward to Local Authority District to County to Region to Country (December 2021) Lookup in United Kingdom </w:t>
      </w:r>
      <w:r w:rsidRPr="00C61130">
        <w:rPr>
          <w:rFonts w:ascii="Times New Roman" w:hAnsi="Times New Roman"/>
          <w:szCs w:val="22"/>
        </w:rPr>
        <w:t xml:space="preserve">[Online]. [viewed 18/05/23]. Available from: </w:t>
      </w:r>
      <w:hyperlink r:id="rId17" w:history="1">
        <w:r w:rsidRPr="007548E7">
          <w:rPr>
            <w:rStyle w:val="Hyperlink"/>
            <w:rFonts w:ascii="Times New Roman" w:hAnsi="Times New Roman"/>
            <w:szCs w:val="22"/>
          </w:rPr>
          <w:t>https://geoportal.statistics.gov.uk/datasets/ons::ward-to-local-authority-district-to-county-to-region-to-country-december-2021-lookup-in-united-kingdom/about</w:t>
        </w:r>
      </w:hyperlink>
    </w:p>
    <w:p w14:paraId="06D6F6F3" w14:textId="7CCB6735" w:rsidR="006103C9" w:rsidRDefault="006103C9" w:rsidP="00BA1D25">
      <w:pPr>
        <w:pStyle w:val="ListParagraph"/>
        <w:numPr>
          <w:ilvl w:val="0"/>
          <w:numId w:val="36"/>
        </w:numPr>
        <w:rPr>
          <w:rFonts w:ascii="Times New Roman" w:hAnsi="Times New Roman"/>
          <w:szCs w:val="22"/>
        </w:rPr>
      </w:pPr>
      <w:r w:rsidRPr="00C61130">
        <w:rPr>
          <w:rFonts w:ascii="Times New Roman" w:hAnsi="Times New Roman"/>
          <w:szCs w:val="22"/>
        </w:rPr>
        <w:t xml:space="preserve">UK THE OFFICE FOR NATIONAL STATISTICS. </w:t>
      </w:r>
      <w:r w:rsidRPr="006103C9">
        <w:rPr>
          <w:rFonts w:ascii="Times New Roman" w:hAnsi="Times New Roman"/>
          <w:szCs w:val="22"/>
        </w:rPr>
        <w:t xml:space="preserve">Local Authority Districts (May 2022) UK BFE V3 </w:t>
      </w:r>
      <w:r w:rsidRPr="00C61130">
        <w:rPr>
          <w:rFonts w:ascii="Times New Roman" w:hAnsi="Times New Roman"/>
          <w:szCs w:val="22"/>
        </w:rPr>
        <w:t xml:space="preserve">[Online]. [viewed 18/05/23]. Available from: </w:t>
      </w:r>
      <w:hyperlink r:id="rId18" w:history="1">
        <w:r w:rsidRPr="007548E7">
          <w:rPr>
            <w:rStyle w:val="Hyperlink"/>
            <w:rFonts w:ascii="Times New Roman" w:hAnsi="Times New Roman"/>
            <w:szCs w:val="22"/>
          </w:rPr>
          <w:t>https://geoportal.statistics.gov.uk/datasets/196d1a072aaa4882a50be333679d4f63_0/explore?location=55.215451%2C-3.313875%2C6.67</w:t>
        </w:r>
      </w:hyperlink>
    </w:p>
    <w:p w14:paraId="27D434E4" w14:textId="77777777" w:rsidR="0037221C" w:rsidRPr="0037221C" w:rsidRDefault="0037221C" w:rsidP="00BA1D25">
      <w:pPr>
        <w:pStyle w:val="ListParagraph"/>
        <w:rPr>
          <w:rFonts w:ascii="Times New Roman" w:hAnsi="Times New Roman"/>
          <w:szCs w:val="22"/>
        </w:rPr>
      </w:pPr>
    </w:p>
    <w:p w14:paraId="21BAE1CE" w14:textId="244CD70E" w:rsidR="00B72522" w:rsidRDefault="00B72522" w:rsidP="00BA1D25">
      <w:pPr>
        <w:rPr>
          <w:rFonts w:ascii="Times New Roman" w:hAnsi="Times New Roman"/>
          <w:szCs w:val="22"/>
        </w:rPr>
      </w:pPr>
    </w:p>
    <w:p w14:paraId="4D8AE2A6" w14:textId="37E875D1" w:rsidR="00B72522" w:rsidRPr="00B72522" w:rsidRDefault="00B72522" w:rsidP="00BA1D25">
      <w:pPr>
        <w:rPr>
          <w:rFonts w:ascii="Times New Roman" w:hAnsi="Times New Roman"/>
          <w:szCs w:val="22"/>
        </w:rPr>
      </w:pPr>
    </w:p>
    <w:sectPr w:rsidR="00B72522" w:rsidRPr="00B725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3D75C" w14:textId="77777777" w:rsidR="00C425BD" w:rsidRDefault="00C425BD" w:rsidP="0036642B">
      <w:pPr>
        <w:spacing w:after="0"/>
      </w:pPr>
      <w:r>
        <w:separator/>
      </w:r>
    </w:p>
  </w:endnote>
  <w:endnote w:type="continuationSeparator" w:id="0">
    <w:p w14:paraId="0CBFFA00" w14:textId="77777777" w:rsidR="00C425BD" w:rsidRDefault="00C425BD" w:rsidP="003664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BD4B0" w14:textId="77777777" w:rsidR="00C425BD" w:rsidRDefault="00C425BD" w:rsidP="0036642B">
      <w:pPr>
        <w:spacing w:after="0"/>
      </w:pPr>
      <w:r>
        <w:separator/>
      </w:r>
    </w:p>
  </w:footnote>
  <w:footnote w:type="continuationSeparator" w:id="0">
    <w:p w14:paraId="0C9CEAEA" w14:textId="77777777" w:rsidR="00C425BD" w:rsidRDefault="00C425BD" w:rsidP="003664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6A625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A4201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14A3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9EAC9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70C7E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6DECB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844DE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A6BD4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46A8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BA49B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747B1"/>
    <w:multiLevelType w:val="multilevel"/>
    <w:tmpl w:val="153E4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27454A"/>
    <w:multiLevelType w:val="hybridMultilevel"/>
    <w:tmpl w:val="CE180E44"/>
    <w:lvl w:ilvl="0" w:tplc="78DABA1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094A13DC"/>
    <w:multiLevelType w:val="hybridMultilevel"/>
    <w:tmpl w:val="01B6F0D4"/>
    <w:lvl w:ilvl="0" w:tplc="032E5E7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105D7AAE"/>
    <w:multiLevelType w:val="multilevel"/>
    <w:tmpl w:val="9532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E10F8"/>
    <w:multiLevelType w:val="hybridMultilevel"/>
    <w:tmpl w:val="24A63D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B11F07"/>
    <w:multiLevelType w:val="hybridMultilevel"/>
    <w:tmpl w:val="7F6A7EDA"/>
    <w:lvl w:ilvl="0" w:tplc="8E6401BA">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23511D42"/>
    <w:multiLevelType w:val="hybridMultilevel"/>
    <w:tmpl w:val="AADC5BA2"/>
    <w:lvl w:ilvl="0" w:tplc="C192A746">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2ABB74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B1037B5"/>
    <w:multiLevelType w:val="hybridMultilevel"/>
    <w:tmpl w:val="B85C4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59782A"/>
    <w:multiLevelType w:val="hybridMultilevel"/>
    <w:tmpl w:val="DAF4809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0" w15:restartNumberingAfterBreak="0">
    <w:nsid w:val="3A284C5A"/>
    <w:multiLevelType w:val="hybridMultilevel"/>
    <w:tmpl w:val="C82AAAE2"/>
    <w:lvl w:ilvl="0" w:tplc="63E4AC2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3C8A30B8"/>
    <w:multiLevelType w:val="hybridMultilevel"/>
    <w:tmpl w:val="742A09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F05931"/>
    <w:multiLevelType w:val="hybridMultilevel"/>
    <w:tmpl w:val="4240EA52"/>
    <w:lvl w:ilvl="0" w:tplc="35BE187A">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40C86EF4"/>
    <w:multiLevelType w:val="multilevel"/>
    <w:tmpl w:val="A2F0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F4F3B"/>
    <w:multiLevelType w:val="hybridMultilevel"/>
    <w:tmpl w:val="50A2C4A4"/>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5F1911BF"/>
    <w:multiLevelType w:val="hybridMultilevel"/>
    <w:tmpl w:val="E3B8B4A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6" w15:restartNumberingAfterBreak="0">
    <w:nsid w:val="5FED4D19"/>
    <w:multiLevelType w:val="hybridMultilevel"/>
    <w:tmpl w:val="1862D57C"/>
    <w:lvl w:ilvl="0" w:tplc="49E403B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65693AF5"/>
    <w:multiLevelType w:val="hybridMultilevel"/>
    <w:tmpl w:val="24A63D6A"/>
    <w:lvl w:ilvl="0" w:tplc="CFB0249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8" w15:restartNumberingAfterBreak="0">
    <w:nsid w:val="716F7AF2"/>
    <w:multiLevelType w:val="hybridMultilevel"/>
    <w:tmpl w:val="AA4E215E"/>
    <w:lvl w:ilvl="0" w:tplc="3FC014C2">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754A7535"/>
    <w:multiLevelType w:val="hybridMultilevel"/>
    <w:tmpl w:val="3BC6974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79CF4CD0"/>
    <w:multiLevelType w:val="hybridMultilevel"/>
    <w:tmpl w:val="039833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7237440">
    <w:abstractNumId w:val="21"/>
  </w:num>
  <w:num w:numId="2" w16cid:durableId="78252725">
    <w:abstractNumId w:val="9"/>
  </w:num>
  <w:num w:numId="3" w16cid:durableId="1619485929">
    <w:abstractNumId w:val="7"/>
  </w:num>
  <w:num w:numId="4" w16cid:durableId="1898322430">
    <w:abstractNumId w:val="6"/>
  </w:num>
  <w:num w:numId="5" w16cid:durableId="1769812818">
    <w:abstractNumId w:val="5"/>
  </w:num>
  <w:num w:numId="6" w16cid:durableId="591545353">
    <w:abstractNumId w:val="4"/>
  </w:num>
  <w:num w:numId="7" w16cid:durableId="259414876">
    <w:abstractNumId w:val="8"/>
  </w:num>
  <w:num w:numId="8" w16cid:durableId="983122059">
    <w:abstractNumId w:val="3"/>
  </w:num>
  <w:num w:numId="9" w16cid:durableId="393047633">
    <w:abstractNumId w:val="2"/>
  </w:num>
  <w:num w:numId="10" w16cid:durableId="187107201">
    <w:abstractNumId w:val="1"/>
  </w:num>
  <w:num w:numId="11" w16cid:durableId="151214103">
    <w:abstractNumId w:val="0"/>
  </w:num>
  <w:num w:numId="12" w16cid:durableId="1350138870">
    <w:abstractNumId w:val="17"/>
  </w:num>
  <w:num w:numId="13" w16cid:durableId="1783913078">
    <w:abstractNumId w:val="18"/>
  </w:num>
  <w:num w:numId="14" w16cid:durableId="644357740">
    <w:abstractNumId w:val="13"/>
  </w:num>
  <w:num w:numId="15" w16cid:durableId="1870869646">
    <w:abstractNumId w:val="23"/>
  </w:num>
  <w:num w:numId="16" w16cid:durableId="1044669972">
    <w:abstractNumId w:val="10"/>
  </w:num>
  <w:num w:numId="17" w16cid:durableId="1575890085">
    <w:abstractNumId w:val="30"/>
  </w:num>
  <w:num w:numId="18" w16cid:durableId="1858040215">
    <w:abstractNumId w:val="9"/>
  </w:num>
  <w:num w:numId="19" w16cid:durableId="1112243155">
    <w:abstractNumId w:val="9"/>
  </w:num>
  <w:num w:numId="20" w16cid:durableId="70736879">
    <w:abstractNumId w:val="9"/>
  </w:num>
  <w:num w:numId="21" w16cid:durableId="157697984">
    <w:abstractNumId w:val="25"/>
  </w:num>
  <w:num w:numId="22" w16cid:durableId="2061509752">
    <w:abstractNumId w:val="11"/>
  </w:num>
  <w:num w:numId="23" w16cid:durableId="1858076849">
    <w:abstractNumId w:val="24"/>
  </w:num>
  <w:num w:numId="24" w16cid:durableId="737897447">
    <w:abstractNumId w:val="15"/>
  </w:num>
  <w:num w:numId="25" w16cid:durableId="1613827833">
    <w:abstractNumId w:val="28"/>
  </w:num>
  <w:num w:numId="26" w16cid:durableId="1533759445">
    <w:abstractNumId w:val="16"/>
  </w:num>
  <w:num w:numId="27" w16cid:durableId="1660422033">
    <w:abstractNumId w:val="27"/>
  </w:num>
  <w:num w:numId="28" w16cid:durableId="1651863648">
    <w:abstractNumId w:val="9"/>
  </w:num>
  <w:num w:numId="29" w16cid:durableId="568611793">
    <w:abstractNumId w:val="20"/>
  </w:num>
  <w:num w:numId="30" w16cid:durableId="429816649">
    <w:abstractNumId w:val="26"/>
  </w:num>
  <w:num w:numId="31" w16cid:durableId="1520775404">
    <w:abstractNumId w:val="12"/>
  </w:num>
  <w:num w:numId="32" w16cid:durableId="781193566">
    <w:abstractNumId w:val="14"/>
  </w:num>
  <w:num w:numId="33" w16cid:durableId="1974022806">
    <w:abstractNumId w:val="9"/>
  </w:num>
  <w:num w:numId="34" w16cid:durableId="508720079">
    <w:abstractNumId w:val="29"/>
  </w:num>
  <w:num w:numId="35" w16cid:durableId="654066134">
    <w:abstractNumId w:val="19"/>
  </w:num>
  <w:num w:numId="36" w16cid:durableId="356196661">
    <w:abstractNumId w:val="22"/>
  </w:num>
  <w:num w:numId="37" w16cid:durableId="1367214934">
    <w:abstractNumId w:val="9"/>
  </w:num>
  <w:num w:numId="38" w16cid:durableId="941184900">
    <w:abstractNumId w:val="9"/>
  </w:num>
  <w:num w:numId="39" w16cid:durableId="12529321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E0"/>
    <w:rsid w:val="00000834"/>
    <w:rsid w:val="00001654"/>
    <w:rsid w:val="00002520"/>
    <w:rsid w:val="000073D2"/>
    <w:rsid w:val="00007DF4"/>
    <w:rsid w:val="00013CBB"/>
    <w:rsid w:val="00023196"/>
    <w:rsid w:val="000250E0"/>
    <w:rsid w:val="00026447"/>
    <w:rsid w:val="00030173"/>
    <w:rsid w:val="000440AA"/>
    <w:rsid w:val="00053781"/>
    <w:rsid w:val="00073E76"/>
    <w:rsid w:val="00074A8F"/>
    <w:rsid w:val="000A2397"/>
    <w:rsid w:val="000A2CCA"/>
    <w:rsid w:val="000A7D59"/>
    <w:rsid w:val="000B764E"/>
    <w:rsid w:val="000D202D"/>
    <w:rsid w:val="000E1E57"/>
    <w:rsid w:val="0013440F"/>
    <w:rsid w:val="00136A09"/>
    <w:rsid w:val="001520D8"/>
    <w:rsid w:val="00157126"/>
    <w:rsid w:val="001626FD"/>
    <w:rsid w:val="00163443"/>
    <w:rsid w:val="00164485"/>
    <w:rsid w:val="00167851"/>
    <w:rsid w:val="00170758"/>
    <w:rsid w:val="001731A3"/>
    <w:rsid w:val="0017532D"/>
    <w:rsid w:val="001801F8"/>
    <w:rsid w:val="001B3E8D"/>
    <w:rsid w:val="001B5DE7"/>
    <w:rsid w:val="001C3BF4"/>
    <w:rsid w:val="001E1405"/>
    <w:rsid w:val="001E2B18"/>
    <w:rsid w:val="001E2C35"/>
    <w:rsid w:val="001F2389"/>
    <w:rsid w:val="002123F3"/>
    <w:rsid w:val="00216B62"/>
    <w:rsid w:val="00217646"/>
    <w:rsid w:val="002205CE"/>
    <w:rsid w:val="00223341"/>
    <w:rsid w:val="002572EA"/>
    <w:rsid w:val="00291975"/>
    <w:rsid w:val="002948F6"/>
    <w:rsid w:val="002B1F70"/>
    <w:rsid w:val="002C5A49"/>
    <w:rsid w:val="002F366E"/>
    <w:rsid w:val="002F6667"/>
    <w:rsid w:val="00301842"/>
    <w:rsid w:val="00311946"/>
    <w:rsid w:val="00314A98"/>
    <w:rsid w:val="00324C29"/>
    <w:rsid w:val="003613F2"/>
    <w:rsid w:val="0036642B"/>
    <w:rsid w:val="0037221C"/>
    <w:rsid w:val="00372E74"/>
    <w:rsid w:val="00374B36"/>
    <w:rsid w:val="00377462"/>
    <w:rsid w:val="003A6E05"/>
    <w:rsid w:val="003C23EC"/>
    <w:rsid w:val="003E40E1"/>
    <w:rsid w:val="003F0A83"/>
    <w:rsid w:val="00405D7A"/>
    <w:rsid w:val="004372CF"/>
    <w:rsid w:val="00440914"/>
    <w:rsid w:val="00442E91"/>
    <w:rsid w:val="004462D8"/>
    <w:rsid w:val="0044648E"/>
    <w:rsid w:val="00447B8B"/>
    <w:rsid w:val="0045600C"/>
    <w:rsid w:val="00482DF5"/>
    <w:rsid w:val="004900DD"/>
    <w:rsid w:val="00490A39"/>
    <w:rsid w:val="004B7EBD"/>
    <w:rsid w:val="004C1A8B"/>
    <w:rsid w:val="004C6887"/>
    <w:rsid w:val="004D0C54"/>
    <w:rsid w:val="004F0E6D"/>
    <w:rsid w:val="0050387E"/>
    <w:rsid w:val="0051276D"/>
    <w:rsid w:val="00513BDE"/>
    <w:rsid w:val="00527872"/>
    <w:rsid w:val="00540913"/>
    <w:rsid w:val="00541EE5"/>
    <w:rsid w:val="00542FDB"/>
    <w:rsid w:val="0055677C"/>
    <w:rsid w:val="005625DD"/>
    <w:rsid w:val="00567AD3"/>
    <w:rsid w:val="00591C0D"/>
    <w:rsid w:val="005B6B53"/>
    <w:rsid w:val="005C1036"/>
    <w:rsid w:val="005C2593"/>
    <w:rsid w:val="005D0F24"/>
    <w:rsid w:val="005D5E3A"/>
    <w:rsid w:val="005E499C"/>
    <w:rsid w:val="005E685C"/>
    <w:rsid w:val="005F6EB7"/>
    <w:rsid w:val="0060164D"/>
    <w:rsid w:val="0060487D"/>
    <w:rsid w:val="006103C9"/>
    <w:rsid w:val="00624D1A"/>
    <w:rsid w:val="00627FC8"/>
    <w:rsid w:val="00630BA8"/>
    <w:rsid w:val="006459AF"/>
    <w:rsid w:val="00654845"/>
    <w:rsid w:val="006562BE"/>
    <w:rsid w:val="0066237A"/>
    <w:rsid w:val="00672922"/>
    <w:rsid w:val="0067534C"/>
    <w:rsid w:val="006769FB"/>
    <w:rsid w:val="00681D24"/>
    <w:rsid w:val="006C35C9"/>
    <w:rsid w:val="006C57CE"/>
    <w:rsid w:val="006E11FC"/>
    <w:rsid w:val="006E1ED6"/>
    <w:rsid w:val="0070137D"/>
    <w:rsid w:val="0070323B"/>
    <w:rsid w:val="00703DC5"/>
    <w:rsid w:val="007076F0"/>
    <w:rsid w:val="00720340"/>
    <w:rsid w:val="0072181D"/>
    <w:rsid w:val="00727F8C"/>
    <w:rsid w:val="00733508"/>
    <w:rsid w:val="00733E1B"/>
    <w:rsid w:val="00740EA1"/>
    <w:rsid w:val="00771467"/>
    <w:rsid w:val="00781138"/>
    <w:rsid w:val="0079067E"/>
    <w:rsid w:val="00792411"/>
    <w:rsid w:val="0079454C"/>
    <w:rsid w:val="007B10FC"/>
    <w:rsid w:val="007C23A2"/>
    <w:rsid w:val="007D065F"/>
    <w:rsid w:val="007E0B38"/>
    <w:rsid w:val="007E0F87"/>
    <w:rsid w:val="007E42A5"/>
    <w:rsid w:val="007F2346"/>
    <w:rsid w:val="007F26E9"/>
    <w:rsid w:val="00806E3C"/>
    <w:rsid w:val="008146DE"/>
    <w:rsid w:val="00823C7E"/>
    <w:rsid w:val="00831CA2"/>
    <w:rsid w:val="00835D50"/>
    <w:rsid w:val="00857383"/>
    <w:rsid w:val="008675B1"/>
    <w:rsid w:val="00874595"/>
    <w:rsid w:val="00875894"/>
    <w:rsid w:val="0087671D"/>
    <w:rsid w:val="008776AA"/>
    <w:rsid w:val="008857BE"/>
    <w:rsid w:val="00887418"/>
    <w:rsid w:val="008879F9"/>
    <w:rsid w:val="008A1603"/>
    <w:rsid w:val="008D129F"/>
    <w:rsid w:val="008D2C06"/>
    <w:rsid w:val="008D68F3"/>
    <w:rsid w:val="008F2C10"/>
    <w:rsid w:val="008F70AF"/>
    <w:rsid w:val="0090070A"/>
    <w:rsid w:val="009077D9"/>
    <w:rsid w:val="00907B91"/>
    <w:rsid w:val="009138EC"/>
    <w:rsid w:val="009179E4"/>
    <w:rsid w:val="0092740F"/>
    <w:rsid w:val="009476FC"/>
    <w:rsid w:val="00954839"/>
    <w:rsid w:val="009629AB"/>
    <w:rsid w:val="00966995"/>
    <w:rsid w:val="009819B9"/>
    <w:rsid w:val="00990802"/>
    <w:rsid w:val="009C1A05"/>
    <w:rsid w:val="009C61C5"/>
    <w:rsid w:val="009E6626"/>
    <w:rsid w:val="009F2F82"/>
    <w:rsid w:val="009F37F4"/>
    <w:rsid w:val="00A030AB"/>
    <w:rsid w:val="00A275AD"/>
    <w:rsid w:val="00A32CD8"/>
    <w:rsid w:val="00A3408D"/>
    <w:rsid w:val="00A459C4"/>
    <w:rsid w:val="00A5533A"/>
    <w:rsid w:val="00A63055"/>
    <w:rsid w:val="00A75F5A"/>
    <w:rsid w:val="00A804DF"/>
    <w:rsid w:val="00A815A1"/>
    <w:rsid w:val="00A92673"/>
    <w:rsid w:val="00AA04DC"/>
    <w:rsid w:val="00AA1EEC"/>
    <w:rsid w:val="00AA294A"/>
    <w:rsid w:val="00AA6052"/>
    <w:rsid w:val="00AA7912"/>
    <w:rsid w:val="00AB15F2"/>
    <w:rsid w:val="00AC5FC0"/>
    <w:rsid w:val="00AD2DED"/>
    <w:rsid w:val="00AE4987"/>
    <w:rsid w:val="00AE4F79"/>
    <w:rsid w:val="00AE67EF"/>
    <w:rsid w:val="00B00B7F"/>
    <w:rsid w:val="00B13709"/>
    <w:rsid w:val="00B16C8A"/>
    <w:rsid w:val="00B23A82"/>
    <w:rsid w:val="00B41AE0"/>
    <w:rsid w:val="00B5691D"/>
    <w:rsid w:val="00B72522"/>
    <w:rsid w:val="00B94845"/>
    <w:rsid w:val="00BA1D25"/>
    <w:rsid w:val="00BA6C45"/>
    <w:rsid w:val="00BC2DE5"/>
    <w:rsid w:val="00BC3EB7"/>
    <w:rsid w:val="00BC6889"/>
    <w:rsid w:val="00BD454B"/>
    <w:rsid w:val="00BE1A79"/>
    <w:rsid w:val="00BE38BA"/>
    <w:rsid w:val="00BF2466"/>
    <w:rsid w:val="00BF3618"/>
    <w:rsid w:val="00C00698"/>
    <w:rsid w:val="00C04885"/>
    <w:rsid w:val="00C14987"/>
    <w:rsid w:val="00C20D01"/>
    <w:rsid w:val="00C21298"/>
    <w:rsid w:val="00C21CB8"/>
    <w:rsid w:val="00C27C6A"/>
    <w:rsid w:val="00C30935"/>
    <w:rsid w:val="00C30D51"/>
    <w:rsid w:val="00C33B5A"/>
    <w:rsid w:val="00C425BD"/>
    <w:rsid w:val="00C52955"/>
    <w:rsid w:val="00C61130"/>
    <w:rsid w:val="00C63EA0"/>
    <w:rsid w:val="00CB097F"/>
    <w:rsid w:val="00CD1D20"/>
    <w:rsid w:val="00CD42CC"/>
    <w:rsid w:val="00CE42AD"/>
    <w:rsid w:val="00CE5138"/>
    <w:rsid w:val="00CE55D8"/>
    <w:rsid w:val="00CE7F9A"/>
    <w:rsid w:val="00CF1F1A"/>
    <w:rsid w:val="00D17F0B"/>
    <w:rsid w:val="00D232ED"/>
    <w:rsid w:val="00D249EA"/>
    <w:rsid w:val="00D358AE"/>
    <w:rsid w:val="00D36CAE"/>
    <w:rsid w:val="00D44989"/>
    <w:rsid w:val="00D71E85"/>
    <w:rsid w:val="00D72BED"/>
    <w:rsid w:val="00D73DE4"/>
    <w:rsid w:val="00D74B4A"/>
    <w:rsid w:val="00D94DCF"/>
    <w:rsid w:val="00DB23FA"/>
    <w:rsid w:val="00DB4991"/>
    <w:rsid w:val="00DB5DD0"/>
    <w:rsid w:val="00DC34DD"/>
    <w:rsid w:val="00DC7490"/>
    <w:rsid w:val="00DE0309"/>
    <w:rsid w:val="00DE20C9"/>
    <w:rsid w:val="00DE608F"/>
    <w:rsid w:val="00DF0184"/>
    <w:rsid w:val="00E02597"/>
    <w:rsid w:val="00E106CB"/>
    <w:rsid w:val="00E13B83"/>
    <w:rsid w:val="00E22558"/>
    <w:rsid w:val="00E250EF"/>
    <w:rsid w:val="00E47A8F"/>
    <w:rsid w:val="00E57663"/>
    <w:rsid w:val="00E71C33"/>
    <w:rsid w:val="00E80208"/>
    <w:rsid w:val="00EB06C1"/>
    <w:rsid w:val="00EC492E"/>
    <w:rsid w:val="00EC6B20"/>
    <w:rsid w:val="00EC779C"/>
    <w:rsid w:val="00ED5C49"/>
    <w:rsid w:val="00EE2ED4"/>
    <w:rsid w:val="00EE75BE"/>
    <w:rsid w:val="00EF401C"/>
    <w:rsid w:val="00EF4A92"/>
    <w:rsid w:val="00EF75A6"/>
    <w:rsid w:val="00F141A9"/>
    <w:rsid w:val="00F2116B"/>
    <w:rsid w:val="00F30AD1"/>
    <w:rsid w:val="00F37EF7"/>
    <w:rsid w:val="00F54B86"/>
    <w:rsid w:val="00F56320"/>
    <w:rsid w:val="00F7063A"/>
    <w:rsid w:val="00F70C95"/>
    <w:rsid w:val="00F73D29"/>
    <w:rsid w:val="00F8334E"/>
    <w:rsid w:val="00F83959"/>
    <w:rsid w:val="00F84A4D"/>
    <w:rsid w:val="00F86EC8"/>
    <w:rsid w:val="00FA1CA1"/>
    <w:rsid w:val="00FA29BF"/>
    <w:rsid w:val="00FA4C5A"/>
    <w:rsid w:val="00FB1109"/>
    <w:rsid w:val="00FB3051"/>
    <w:rsid w:val="00FB60A4"/>
    <w:rsid w:val="00FC6DC9"/>
    <w:rsid w:val="00FC7B8D"/>
    <w:rsid w:val="00FD293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7ECFC2"/>
  <w15:chartTrackingRefBased/>
  <w15:docId w15:val="{F3DD075C-4AB0-4B08-A2FE-68770DBD4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AD3"/>
    <w:pPr>
      <w:spacing w:after="120"/>
    </w:pPr>
    <w:rPr>
      <w:rFonts w:ascii="Arial" w:hAnsi="Arial"/>
      <w:sz w:val="22"/>
    </w:rPr>
  </w:style>
  <w:style w:type="paragraph" w:styleId="Heading1">
    <w:name w:val="heading 1"/>
    <w:basedOn w:val="Normal"/>
    <w:next w:val="Normal"/>
    <w:link w:val="Heading1Char"/>
    <w:uiPriority w:val="9"/>
    <w:qFormat/>
    <w:rsid w:val="008F2C10"/>
    <w:pPr>
      <w:keepNext/>
      <w:keepLines/>
      <w:spacing w:before="120"/>
      <w:outlineLvl w:val="0"/>
    </w:pPr>
    <w:rPr>
      <w:rFonts w:eastAsiaTheme="majorEastAsia"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320"/>
    <w:pPr>
      <w:ind w:left="720"/>
      <w:contextualSpacing/>
    </w:pPr>
  </w:style>
  <w:style w:type="paragraph" w:styleId="ListNumber">
    <w:name w:val="List Number"/>
    <w:basedOn w:val="Normal"/>
    <w:uiPriority w:val="99"/>
    <w:unhideWhenUsed/>
    <w:rsid w:val="00F56320"/>
    <w:pPr>
      <w:numPr>
        <w:numId w:val="7"/>
      </w:numPr>
      <w:contextualSpacing/>
    </w:pPr>
  </w:style>
  <w:style w:type="character" w:customStyle="1" w:styleId="Heading1Char">
    <w:name w:val="Heading 1 Char"/>
    <w:basedOn w:val="DefaultParagraphFont"/>
    <w:link w:val="Heading1"/>
    <w:uiPriority w:val="9"/>
    <w:rsid w:val="008F2C10"/>
    <w:rPr>
      <w:rFonts w:ascii="Arial" w:eastAsiaTheme="majorEastAsia" w:hAnsi="Arial" w:cstheme="majorBidi"/>
      <w:sz w:val="28"/>
      <w:szCs w:val="32"/>
    </w:rPr>
  </w:style>
  <w:style w:type="paragraph" w:styleId="ListBullet">
    <w:name w:val="List Bullet"/>
    <w:basedOn w:val="Normal"/>
    <w:uiPriority w:val="99"/>
    <w:unhideWhenUsed/>
    <w:rsid w:val="003E40E1"/>
    <w:pPr>
      <w:numPr>
        <w:numId w:val="2"/>
      </w:numPr>
      <w:contextualSpacing/>
    </w:pPr>
  </w:style>
  <w:style w:type="character" w:styleId="Hyperlink">
    <w:name w:val="Hyperlink"/>
    <w:basedOn w:val="DefaultParagraphFont"/>
    <w:uiPriority w:val="99"/>
    <w:unhideWhenUsed/>
    <w:rsid w:val="007F2346"/>
    <w:rPr>
      <w:color w:val="0563C1" w:themeColor="hyperlink"/>
      <w:u w:val="single"/>
    </w:rPr>
  </w:style>
  <w:style w:type="character" w:styleId="UnresolvedMention">
    <w:name w:val="Unresolved Mention"/>
    <w:basedOn w:val="DefaultParagraphFont"/>
    <w:uiPriority w:val="99"/>
    <w:semiHidden/>
    <w:unhideWhenUsed/>
    <w:rsid w:val="007F2346"/>
    <w:rPr>
      <w:color w:val="605E5C"/>
      <w:shd w:val="clear" w:color="auto" w:fill="E1DFDD"/>
    </w:rPr>
  </w:style>
  <w:style w:type="character" w:styleId="FollowedHyperlink">
    <w:name w:val="FollowedHyperlink"/>
    <w:basedOn w:val="DefaultParagraphFont"/>
    <w:uiPriority w:val="99"/>
    <w:semiHidden/>
    <w:unhideWhenUsed/>
    <w:rsid w:val="007F2346"/>
    <w:rPr>
      <w:color w:val="954F72" w:themeColor="followedHyperlink"/>
      <w:u w:val="single"/>
    </w:rPr>
  </w:style>
  <w:style w:type="paragraph" w:styleId="Header">
    <w:name w:val="header"/>
    <w:basedOn w:val="Normal"/>
    <w:link w:val="HeaderChar"/>
    <w:uiPriority w:val="99"/>
    <w:unhideWhenUsed/>
    <w:rsid w:val="0036642B"/>
    <w:pPr>
      <w:tabs>
        <w:tab w:val="center" w:pos="4252"/>
        <w:tab w:val="right" w:pos="8504"/>
      </w:tabs>
      <w:spacing w:after="0"/>
    </w:pPr>
  </w:style>
  <w:style w:type="character" w:customStyle="1" w:styleId="HeaderChar">
    <w:name w:val="Header Char"/>
    <w:basedOn w:val="DefaultParagraphFont"/>
    <w:link w:val="Header"/>
    <w:uiPriority w:val="99"/>
    <w:rsid w:val="0036642B"/>
    <w:rPr>
      <w:rFonts w:ascii="Arial" w:hAnsi="Arial"/>
      <w:sz w:val="22"/>
    </w:rPr>
  </w:style>
  <w:style w:type="paragraph" w:styleId="Footer">
    <w:name w:val="footer"/>
    <w:basedOn w:val="Normal"/>
    <w:link w:val="FooterChar"/>
    <w:uiPriority w:val="99"/>
    <w:unhideWhenUsed/>
    <w:rsid w:val="0036642B"/>
    <w:pPr>
      <w:tabs>
        <w:tab w:val="center" w:pos="4252"/>
        <w:tab w:val="right" w:pos="8504"/>
      </w:tabs>
      <w:spacing w:after="0"/>
    </w:pPr>
  </w:style>
  <w:style w:type="character" w:customStyle="1" w:styleId="FooterChar">
    <w:name w:val="Footer Char"/>
    <w:basedOn w:val="DefaultParagraphFont"/>
    <w:link w:val="Footer"/>
    <w:uiPriority w:val="99"/>
    <w:rsid w:val="0036642B"/>
    <w:rPr>
      <w:rFonts w:ascii="Arial" w:hAnsi="Arial"/>
      <w:sz w:val="22"/>
    </w:rPr>
  </w:style>
  <w:style w:type="paragraph" w:styleId="Caption">
    <w:name w:val="caption"/>
    <w:basedOn w:val="Normal"/>
    <w:next w:val="Normal"/>
    <w:uiPriority w:val="35"/>
    <w:unhideWhenUsed/>
    <w:qFormat/>
    <w:rsid w:val="0088741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97372">
      <w:bodyDiv w:val="1"/>
      <w:marLeft w:val="0"/>
      <w:marRight w:val="0"/>
      <w:marTop w:val="0"/>
      <w:marBottom w:val="0"/>
      <w:divBdr>
        <w:top w:val="none" w:sz="0" w:space="0" w:color="auto"/>
        <w:left w:val="none" w:sz="0" w:space="0" w:color="auto"/>
        <w:bottom w:val="none" w:sz="0" w:space="0" w:color="auto"/>
        <w:right w:val="none" w:sz="0" w:space="0" w:color="auto"/>
      </w:divBdr>
    </w:div>
    <w:div w:id="348874747">
      <w:bodyDiv w:val="1"/>
      <w:marLeft w:val="0"/>
      <w:marRight w:val="0"/>
      <w:marTop w:val="0"/>
      <w:marBottom w:val="0"/>
      <w:divBdr>
        <w:top w:val="none" w:sz="0" w:space="0" w:color="auto"/>
        <w:left w:val="none" w:sz="0" w:space="0" w:color="auto"/>
        <w:bottom w:val="none" w:sz="0" w:space="0" w:color="auto"/>
        <w:right w:val="none" w:sz="0" w:space="0" w:color="auto"/>
      </w:divBdr>
    </w:div>
    <w:div w:id="534923220">
      <w:bodyDiv w:val="1"/>
      <w:marLeft w:val="0"/>
      <w:marRight w:val="0"/>
      <w:marTop w:val="0"/>
      <w:marBottom w:val="0"/>
      <w:divBdr>
        <w:top w:val="none" w:sz="0" w:space="0" w:color="auto"/>
        <w:left w:val="none" w:sz="0" w:space="0" w:color="auto"/>
        <w:bottom w:val="none" w:sz="0" w:space="0" w:color="auto"/>
        <w:right w:val="none" w:sz="0" w:space="0" w:color="auto"/>
      </w:divBdr>
    </w:div>
    <w:div w:id="561525384">
      <w:bodyDiv w:val="1"/>
      <w:marLeft w:val="0"/>
      <w:marRight w:val="0"/>
      <w:marTop w:val="0"/>
      <w:marBottom w:val="0"/>
      <w:divBdr>
        <w:top w:val="none" w:sz="0" w:space="0" w:color="auto"/>
        <w:left w:val="none" w:sz="0" w:space="0" w:color="auto"/>
        <w:bottom w:val="none" w:sz="0" w:space="0" w:color="auto"/>
        <w:right w:val="none" w:sz="0" w:space="0" w:color="auto"/>
      </w:divBdr>
    </w:div>
    <w:div w:id="851341699">
      <w:bodyDiv w:val="1"/>
      <w:marLeft w:val="0"/>
      <w:marRight w:val="0"/>
      <w:marTop w:val="0"/>
      <w:marBottom w:val="0"/>
      <w:divBdr>
        <w:top w:val="none" w:sz="0" w:space="0" w:color="auto"/>
        <w:left w:val="none" w:sz="0" w:space="0" w:color="auto"/>
        <w:bottom w:val="none" w:sz="0" w:space="0" w:color="auto"/>
        <w:right w:val="none" w:sz="0" w:space="0" w:color="auto"/>
      </w:divBdr>
    </w:div>
    <w:div w:id="964896595">
      <w:bodyDiv w:val="1"/>
      <w:marLeft w:val="0"/>
      <w:marRight w:val="0"/>
      <w:marTop w:val="0"/>
      <w:marBottom w:val="0"/>
      <w:divBdr>
        <w:top w:val="none" w:sz="0" w:space="0" w:color="auto"/>
        <w:left w:val="none" w:sz="0" w:space="0" w:color="auto"/>
        <w:bottom w:val="none" w:sz="0" w:space="0" w:color="auto"/>
        <w:right w:val="none" w:sz="0" w:space="0" w:color="auto"/>
      </w:divBdr>
    </w:div>
    <w:div w:id="1079981274">
      <w:bodyDiv w:val="1"/>
      <w:marLeft w:val="0"/>
      <w:marRight w:val="0"/>
      <w:marTop w:val="0"/>
      <w:marBottom w:val="0"/>
      <w:divBdr>
        <w:top w:val="none" w:sz="0" w:space="0" w:color="auto"/>
        <w:left w:val="none" w:sz="0" w:space="0" w:color="auto"/>
        <w:bottom w:val="none" w:sz="0" w:space="0" w:color="auto"/>
        <w:right w:val="none" w:sz="0" w:space="0" w:color="auto"/>
      </w:divBdr>
    </w:div>
    <w:div w:id="1118531331">
      <w:bodyDiv w:val="1"/>
      <w:marLeft w:val="0"/>
      <w:marRight w:val="0"/>
      <w:marTop w:val="0"/>
      <w:marBottom w:val="0"/>
      <w:divBdr>
        <w:top w:val="none" w:sz="0" w:space="0" w:color="auto"/>
        <w:left w:val="none" w:sz="0" w:space="0" w:color="auto"/>
        <w:bottom w:val="none" w:sz="0" w:space="0" w:color="auto"/>
        <w:right w:val="none" w:sz="0" w:space="0" w:color="auto"/>
      </w:divBdr>
    </w:div>
    <w:div w:id="1711028799">
      <w:bodyDiv w:val="1"/>
      <w:marLeft w:val="0"/>
      <w:marRight w:val="0"/>
      <w:marTop w:val="0"/>
      <w:marBottom w:val="0"/>
      <w:divBdr>
        <w:top w:val="none" w:sz="0" w:space="0" w:color="auto"/>
        <w:left w:val="none" w:sz="0" w:space="0" w:color="auto"/>
        <w:bottom w:val="none" w:sz="0" w:space="0" w:color="auto"/>
        <w:right w:val="none" w:sz="0" w:space="0" w:color="auto"/>
      </w:divBdr>
    </w:div>
    <w:div w:id="1712538936">
      <w:bodyDiv w:val="1"/>
      <w:marLeft w:val="0"/>
      <w:marRight w:val="0"/>
      <w:marTop w:val="0"/>
      <w:marBottom w:val="0"/>
      <w:divBdr>
        <w:top w:val="none" w:sz="0" w:space="0" w:color="auto"/>
        <w:left w:val="none" w:sz="0" w:space="0" w:color="auto"/>
        <w:bottom w:val="none" w:sz="0" w:space="0" w:color="auto"/>
        <w:right w:val="none" w:sz="0" w:space="0" w:color="auto"/>
      </w:divBdr>
    </w:div>
    <w:div w:id="1740471860">
      <w:bodyDiv w:val="1"/>
      <w:marLeft w:val="0"/>
      <w:marRight w:val="0"/>
      <w:marTop w:val="0"/>
      <w:marBottom w:val="0"/>
      <w:divBdr>
        <w:top w:val="none" w:sz="0" w:space="0" w:color="auto"/>
        <w:left w:val="none" w:sz="0" w:space="0" w:color="auto"/>
        <w:bottom w:val="none" w:sz="0" w:space="0" w:color="auto"/>
        <w:right w:val="none" w:sz="0" w:space="0" w:color="auto"/>
      </w:divBdr>
    </w:div>
    <w:div w:id="205746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eoportal.statistics.gov.uk/datasets/196d1a072aaa4882a50be333679d4f63_0/explore?location=55.215451%2C-3.313875%2C6.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eoportal.statistics.gov.uk/datasets/ons::ward-to-local-authority-district-to-county-to-region-to-country-december-2021-lookup-in-united-kingdom/about" TargetMode="External"/><Relationship Id="rId2" Type="http://schemas.openxmlformats.org/officeDocument/2006/relationships/numbering" Target="numbering.xml"/><Relationship Id="rId16" Type="http://schemas.openxmlformats.org/officeDocument/2006/relationships/hyperlink" Target="https://www.ons.gov.uk/methodology/classificationsandstandards/ukstandardindustrialclassificationofeconomicactivities/uksic200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ns.gov.uk/methodology/classificationsandstandards/standardoccupationalclassificationsoc/soc2020/soc2020volume2codingrulesandconvention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434C6-D6FA-411A-9EB1-57A32FF5A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2778</Words>
  <Characters>15840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Nabney</dc:creator>
  <cp:keywords/>
  <dc:description/>
  <cp:lastModifiedBy>Sze Hang Wong</cp:lastModifiedBy>
  <cp:revision>41</cp:revision>
  <dcterms:created xsi:type="dcterms:W3CDTF">2023-05-19T08:58:00Z</dcterms:created>
  <dcterms:modified xsi:type="dcterms:W3CDTF">2023-10-16T10:30:00Z</dcterms:modified>
</cp:coreProperties>
</file>