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таргетолог</w:t>
      </w:r>
    </w:p>
    <w:p>
      <w:pPr>
        <w:spacing w:after="40"/>
      </w:pPr>
      <w:r>
        <w:rPr>
          <w:b/>
          <w:bCs/>
          <w:color w:val="1C1815"/>
          <w:sz w:val="34"/>
          <w:szCs w:val="34"/>
        </w:rPr>
        <w:t xml:space="preserve">Тест-план по каналам: ППК «Сложный случай»</w:t>
      </w:r>
    </w:p>
    <w:p>
      <w:pPr>
        <w:pBdr>
          <w:bottom w:val="single" w:color="C6633A" w:sz="12" w:space="6"/>
        </w:pBdr>
        <w:spacing w:after="130"/>
      </w:pPr>
      <w:r>
        <w:rPr>
          <w:color w:val="6B6259"/>
          <w:sz w:val="20"/>
          <w:szCs w:val="20"/>
        </w:rPr>
        <w:t xml:space="preserve">Дата: 21.08.2026. Цель — за 2–3 недели найти канал(ы) с самой низкой ценой ОПЛАТЫ и держать CAC ≤ 250 € (реальная планка Тины). Бюджеты — ориентиры на бенчмарках; финальные суммы утверждает Тина.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Принцип теста (как таргетолог принимает решение)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Меряем цену ОПЛАТЫ, а не регистрации. </w:t>
      </w:r>
      <w:r>
        <w:rPr>
          <w:sz w:val="20"/>
          <w:szCs w:val="20"/>
        </w:rPr>
        <w:t xml:space="preserve">Дешёвая регистрация ≠ дешёвый студент. Деньги — в канал-лидер по стоимости оплаченного, а не заявки.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Планка CAC = 250 € </w:t>
      </w:r>
      <w:r>
        <w:rPr>
          <w:sz w:val="20"/>
          <w:szCs w:val="20"/>
        </w:rPr>
        <w:t xml:space="preserve">(факт Тины). Канал, где студент выходит дороже 250 € и не дешевеет, — останавливаем.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Один тест = одна переменная. </w:t>
      </w:r>
      <w:r>
        <w:rPr>
          <w:sz w:val="20"/>
          <w:szCs w:val="20"/>
        </w:rPr>
        <w:t xml:space="preserve">Не мешаем в одной группе разные аудитории/креативы — иначе не поймём, что сработало.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Запускаем волнами, </w:t>
      </w:r>
      <w:r>
        <w:rPr>
          <w:sz w:val="20"/>
          <w:szCs w:val="20"/>
        </w:rPr>
        <w:t xml:space="preserve">от самого тёплого и дешёвого к холодному и дорогому. Не всё сразу.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Очередь запуска (волны)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400"/>
        <w:gridCol w:w="2100"/>
      </w:tblGrid>
      <w:tr>
        <w:trPr>
          <w:tblHeader/>
        </w:trPr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Волна</w:t>
            </w:r>
          </w:p>
        </w:tc>
        <w:tc>
          <w:tcPr>
            <w:tcW w:type="dxa" w:w="3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2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Тип аудитории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Волна 0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Тёплая база: звонки менеджера + реактивация 200 студентов/пулов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Самая тёплая (знают МИГ)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Сразу (не реклама)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Волна 1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VK Реклама от ИП: look-alike покупателей + ретаргет пикселя</w:t>
            </w:r>
          </w:p>
        </w:tc>
        <w:tc>
          <w:tcPr>
            <w:tcW w:type="dxa" w:w="2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Тёплая/похожая на купивших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После пикселя + доступа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Волна 2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Telegram: посевы в каналах психологов + Telegram Ads (eLama)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Холодная целевая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неделя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Волна 3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на диаспору (ООО Черногория): Кипр, Израиль, Германия, Сербия</w:t>
            </w:r>
          </w:p>
        </w:tc>
        <w:tc>
          <w:tcPr>
            <w:tcW w:type="dxa" w:w="2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Холодная диаспора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Параллельно, отд. бюджет €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Фон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Search — защита бренда МИГ (перехват «МИГиП/МГИ» путаницы)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Горячий спрос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Дёшево, постоянно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Матрица теста по каналам</w:t>
      </w:r>
    </w:p>
    <w:p>
      <w:pPr>
        <w:spacing w:after="90"/>
      </w:pPr>
      <w:r>
        <w:rPr>
          <w:color w:val="6B6259"/>
          <w:sz w:val="18"/>
          <w:szCs w:val="18"/>
        </w:rPr>
        <w:t xml:space="preserve">Легенда цен: </w:t>
      </w:r>
      <w:r>
        <w:rPr>
          <w:b/>
          <w:bCs/>
          <w:color w:val="C6633A"/>
          <w:sz w:val="17"/>
          <w:szCs w:val="17"/>
        </w:rPr>
        <w:t xml:space="preserve">[Б]</w:t>
      </w:r>
      <w:r>
        <w:rPr>
          <w:color w:val="6B6259"/>
          <w:sz w:val="18"/>
          <w:szCs w:val="18"/>
        </w:rPr>
        <w:t xml:space="preserve"> — бенчмарк рынка (не гарантия). Стоп-правила — из воронки ss-ad-funnel.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350"/>
        <w:gridCol w:w="1450"/>
        <w:gridCol w:w="2100"/>
      </w:tblGrid>
      <w:tr>
        <w:trPr>
          <w:tblHeader/>
        </w:trPr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Гео / цель</w:t>
            </w:r>
          </w:p>
        </w:tc>
        <w:tc>
          <w:tcPr>
            <w:tcW w:type="dxa" w:w="235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тестируем (2–3 варианта)</w:t>
            </w:r>
          </w:p>
        </w:tc>
        <w:tc>
          <w:tcPr>
            <w:tcW w:type="dxa" w:w="145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Тест-бюджет [Б]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Стоп / целевой KPI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Тёплая база (звонки)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РФ+СНГ / запись на ДОД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Скрипт-подарок (9 лекций) → ДОД. Сегменты: студенты · пулы лидов · выпускники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0 € (ФОТ менеджера)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KPI: доходимость до ДОД, оплаты. Ждём выше рекламы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VK Реклама от ИП</w:t>
            </w:r>
          </w:p>
        </w:tc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РФ / регистрация на вебинар/ДОД</w:t>
            </w:r>
          </w:p>
        </w:tc>
        <w:tc>
          <w:tcPr>
            <w:tcW w:type="dxa" w:w="23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A: look-alike покупателей · B: ретаргет визиторов · C: интересы (психология)</w:t>
            </w:r>
          </w:p>
        </w:tc>
        <w:tc>
          <w:tcPr>
            <w:tcW w:type="dxa" w:w="14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тыс ₽ на связку ×3 ≈ 10–15 тыс ₽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Стоп: 150 € без регистрации. Цель: рег. 80–200 ₽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 посевы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РФ / подписка в бот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канала психологов разного размера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5–10 тыс ₽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Цель: подписчик 150–250 ₽. Стоп: дорогой/накрутка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 Ads (eLama)</w:t>
            </w:r>
          </w:p>
        </w:tc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РФ / подписка в бот</w:t>
            </w:r>
          </w:p>
        </w:tc>
        <w:tc>
          <w:tcPr>
            <w:tcW w:type="dxa" w:w="23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Таргет по каналам психологии + смежное саморазвитие</w:t>
            </w:r>
          </w:p>
        </w:tc>
        <w:tc>
          <w:tcPr>
            <w:tcW w:type="dxa" w:w="14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вход ~250 € + комиссия (образование БЕЗ льготы ~20%) + НДС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Цель: подписчик ≤250 ₽. Дороже — в посевы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(ООО Черногория)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Кипр/Израиль/Германия/Сербия / рег. на автовебинар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 1 гео: FB-группы-интересы + look-alike (когда пиксель наберёт)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€100–150 на гео × 2 гео ≈ €200–300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Стоп: 400 € без заявки. Цель: цена рег. считаем свою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бренд</w:t>
            </w:r>
          </w:p>
        </w:tc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Все гео / на сайт</w:t>
            </w:r>
          </w:p>
        </w:tc>
        <w:tc>
          <w:tcPr>
            <w:tcW w:type="dxa" w:w="23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Брендовые запросы МИГ + категорийные</w:t>
            </w:r>
          </w:p>
        </w:tc>
        <w:tc>
          <w:tcPr>
            <w:tcW w:type="dxa" w:w="145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тыс ₽/мес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Дёшево; защита от путаницы брендов</w:t>
            </w:r>
          </w:p>
        </w:tc>
      </w:tr>
    </w:tbl>
    <w:p>
      <w:pPr>
        <w:spacing w:after="90"/>
      </w:pPr>
      <w:r>
        <w:rPr>
          <w:b/>
          <w:bCs/>
        </w:rPr>
        <w:t xml:space="preserve">Суммарный тестовый бюджет-ориентир: </w:t>
      </w:r>
      <w:r>
        <w:rPr>
          <w:sz w:val="20"/>
          <w:szCs w:val="20"/>
        </w:rPr>
        <w:t xml:space="preserve">~30–45 тыс ₽ (РФ-каналы) + ~€200–300 (Meta-диаспора отдельно, в евро с ООО). Это ОРИЕНТИР для оценки; финал утверждаете вы. Можно стартовать только с Волны 0–1 (тёплая база + VK) почти без бюджета и добавлять по мере результата.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меряем на каждом канале (единые метрики)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6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Зачем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Цена регистрации / подписчика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верх воронки — дёшево ли заходим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Доходимость до вебинара/ДОД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у образования низкая (~31%) — следим отдельно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Заявка на собеседование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середина воронки — реальный интерес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Цена ОПЛАТЫ (CAC по каналу)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ГЛАВНАЯ. По ней распределяем бюджет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Источник в AlfaCRM (UTM)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чтобы знать, какой канал дал студента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Как принимаем решение (через 2–3 недели)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Считаем по каждому каналу цену оплаченного студента (не регистрации).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Канал-лидер </w:t>
      </w:r>
      <w:r>
        <w:rPr>
          <w:sz w:val="20"/>
          <w:szCs w:val="20"/>
        </w:rPr>
        <w:t xml:space="preserve">(ниже 250 € за студента) — доливаем бюджет, масштабируем на +10–20% каждые 3–5 дней (чтобы не сбить обучение алгоритма).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Канал-аутсайдер </w:t>
      </w:r>
      <w:r>
        <w:rPr>
          <w:sz w:val="20"/>
          <w:szCs w:val="20"/>
        </w:rPr>
        <w:t xml:space="preserve">(дороже 250 € и не дешевеет) — стоп или переделка креатива/аудитории.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Первый ДОД 25.08 — калибровочная точка: замеряем реальную доходимость и конверсию, уточняем прогноз.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Обязательно ДО старта (иначе тест слепой)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Пиксели VK + Meta на лендинге (инструкция готова).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Доступ агентству к кабинету VK от ИП + выгрузка покупателей из AlfaCRM (сид look-alike).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Telegram-бот с лид-магнитом (9 лекций) — точка захвата.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UTM-метки на все ссылки + метка источника в AlfaCRM.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Кабинет Meta на ООО Черногория с евро-картой (для диаспоры).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Честные оговорки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Бенчмарки цен — ориентиры рынка, НЕ гарантия. Реальные цифры даст только наш тест.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Планка 250 € — ваш факт; LTV/юнит-экономику уточняем по AlfaCRM (5 цифр из «Реестра цифр»).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Льгота eLama НЕ распространяется на образование — Telegram Ads для нас дороже стандартных условий, учтено.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Тексты объявлений </w:t>
      </w:r>
      <w:r>
        <w:rPr>
          <w:sz w:val="20"/>
          <w:szCs w:val="20"/>
        </w:rPr>
        <w:t xml:space="preserve">— через журналиста; без «гарантий/исцеления» (VK банит категорию психологии за это).</w:t>
      </w:r>
    </w:p>
    <w:p>
      <w:pPr>
        <w:spacing w:before="140"/>
      </w:pPr>
      <w:r>
        <w:rPr>
          <w:b/>
          <w:bCs/>
          <w:color w:val="1C1815"/>
        </w:rPr>
        <w:t xml:space="preserve">Следующий шаг после утверждения: </w:t>
      </w:r>
      <w:r>
        <w:rPr>
          <w:sz w:val="20"/>
          <w:szCs w:val="20"/>
        </w:rPr>
        <w:t xml:space="preserve">беру Волну 0–1 (скрипт звонка готов, настройка VK расписана) и запускаем. Скажите бюджет — адаптирую суммы под него.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2026-08-21T19:34:32.111Z</dcterms:created>
  <dcterms:modified xsi:type="dcterms:W3CDTF">2026-08-21T19:34:32.121Z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