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Signal2Scan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Can routine ICU data predict head-CT yield? — Study Design &amp; Path to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Aligning the Mayo Clinic Datathon prototype with a publishable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MIT–Mayo Clinic Florida Datathon spin-off  ·  MIMIC-IV  ·  Draft v0.2 (repo-aligned)  · 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Repo: </w:t>
      </w:r>
      <w:hyperlink r:id="rId6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github.com/tinaboya/Signal2Scan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9e2f3" w:space="1" w:sz="12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4b5"/>
          <w:sz w:val="21"/>
          <w:szCs w:val="21"/>
          <w:rtl w:val="0"/>
        </w:rPr>
        <w:t xml:space="preserve">How to read this document. </w:t>
      </w:r>
      <w:r w:rsidDel="00000000" w:rsidR="00000000" w:rsidRPr="00000000">
        <w:rPr>
          <w:sz w:val="21"/>
          <w:szCs w:val="21"/>
          <w:rtl w:val="0"/>
        </w:rPr>
        <w:t xml:space="preserve">This is the technical lead's working plan, reconciled against what the team has already built in the repo. Each section is tagged: </w:t>
      </w: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[BUILT]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= done in the datathon and kept as-is; </w:t>
      </w: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[TO ADD]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= needed to move from prototype to paper; </w:t>
      </w:r>
      <w:r w:rsidDel="00000000" w:rsidR="00000000" w:rsidRPr="00000000">
        <w:rPr>
          <w:b w:val="1"/>
          <w:bCs w:val="1"/>
          <w:color w:val="c00000"/>
          <w:sz w:val="19"/>
          <w:szCs w:val="19"/>
          <w:rtl w:val="0"/>
        </w:rPr>
        <w:t xml:space="preserve">[DECISION]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= needs the physician lead before we lock it. This is a living Google Doc — comment inline.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id w:val="-14534422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0. Where the project stands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datathon produced a complete end-to-end pipeline: a labeled CT cohort, a 4-hour pre-scan feature set, five trained classifiers with leakage-safe splits, and SHAP interpretation. In other words,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experiment already exists</w:t>
      </w:r>
      <w:r w:rsidDel="00000000" w:rsidR="00000000" w:rsidRPr="00000000">
        <w:rPr>
          <w:sz w:val="21"/>
          <w:szCs w:val="21"/>
          <w:rtl w:val="0"/>
        </w:rPr>
        <w:t xml:space="preserve">. The remaining work is not to design a study from scratch — it is to add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rigor and validation</w:t>
      </w:r>
      <w:r w:rsidDel="00000000" w:rsidR="00000000" w:rsidRPr="00000000">
        <w:rPr>
          <w:sz w:val="21"/>
          <w:szCs w:val="21"/>
          <w:rtl w:val="0"/>
        </w:rPr>
        <w:t xml:space="preserve"> a datathon skips, and to write it up. This document therefore doubles as a study protocol and a gap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question (from the repo): </w:t>
      </w:r>
      <w:r w:rsidDel="00000000" w:rsidR="00000000" w:rsidRPr="00000000">
        <w:rPr>
          <w:sz w:val="21"/>
          <w:szCs w:val="21"/>
          <w:rtl w:val="0"/>
        </w:rPr>
        <w:t xml:space="preserve">can routinely collected ICU data, available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before</w:t>
      </w:r>
      <w:r w:rsidDel="00000000" w:rsidR="00000000" w:rsidRPr="00000000">
        <w:rPr>
          <w:sz w:val="21"/>
          <w:szCs w:val="21"/>
          <w:rtl w:val="0"/>
        </w:rPr>
        <w:t xml:space="preserve"> a head CT is performed, predict whether that scan will show an acute, clinically significant finding? Framed as scan-yield / appropriateness rather than a diagnostic risk score — a framing that is both clinically honest and easier to defend, because it is explicitly about ordered scans.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Background &amp;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 — motivation already in README]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Head CT is ordered frequently in the ICU, but a large fraction returns no acute findings, exposing unstable patients to avoidable radiation and transport risk. Existing head-CT decision rules (Rothrock/Orlando, Covino, Scott-King) were almost all derived in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emergency department</w:t>
      </w:r>
      <w:r w:rsidDel="00000000" w:rsidR="00000000" w:rsidRPr="00000000">
        <w:rPr>
          <w:sz w:val="21"/>
          <w:szCs w:val="21"/>
          <w:rtl w:val="0"/>
        </w:rPr>
        <w:t xml:space="preserve"> and achieve high sensitivity but poor specificity (the pooled Orlando meta-analysis: ~98% sensitivity vs. ~18% specificity). ICU evidence is far thinner (Chokshi 2016; Khan 2014; Purmer 2012; Balachandran 2009), and ICU patients break ED assumptions: sedation and ventilation depress GCS independently of intracranial pathology, AMS is near-universal, and baseline exams are often unobtainable.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Positioning for the paper: </w:t>
      </w:r>
      <w:r w:rsidDel="00000000" w:rsidR="00000000" w:rsidRPr="00000000">
        <w:rPr>
          <w:sz w:val="21"/>
          <w:szCs w:val="21"/>
          <w:rtl w:val="0"/>
        </w:rPr>
        <w:t xml:space="preserve">Signal2Scan targets the ICU gap directly, using routinely captured structured data (not a bespoke bedside checklist) to estimate scan yield. The novelty is the ICU setting + the pre-scan structured-data-only feature design + interpretable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Objectives &amp; Hypotheses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[TO ADD — formalize before writing]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2.1 Primary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To predict whether a head CT ordered in the ICU will show an acute, clinically significant finding (Positive vs. Negative), using structured features from the 4-hour window preceding the scan, and to identify which routine signals drive that prediction.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2.2 Secondary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Quantify head-CT yield in the ICU cohort overall and by subgroup (ICU type, shift, indication signals).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an interpretable model (logistic regression) against flexible learners (RF, GBM, SVM, KNN) to test whether complexity yields clinically meaningful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Characterize the predictive signal with SHAP and reconcile it with clinical plausibility.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2.3 Working hypotheses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small set of routine pre-scan signals (neuro exam deltas, coagulation status, indication context) carries most of the discriminative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Flexible models improve discrimination only modestly over logistic regression, supporting a simple, deployable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Predicted yield varies substantially across ICU subgroups, implying context-specific ordering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Data Source &amp; Cohort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[BUILT]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 cohort construction &amp; exclusions are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Source: </w:t>
      </w:r>
      <w:r w:rsidDel="00000000" w:rsidR="00000000" w:rsidRPr="00000000">
        <w:rPr>
          <w:sz w:val="21"/>
          <w:szCs w:val="21"/>
          <w:rtl w:val="0"/>
        </w:rPr>
        <w:t xml:space="preserve">MIMIC-IV critical care database + MIMIC-IV-Note for free-text radiology reports (linked via subject_id / hadm_id). Access is credentialed (CITI training + PhysioNet DUA); raw patient CSVs are non-redistributable, so only synthetic/example files live in the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Head-CT identification: </w:t>
      </w:r>
      <w:r w:rsidDel="00000000" w:rsidR="00000000" w:rsidRPr="00000000">
        <w:rPr>
          <w:sz w:val="21"/>
          <w:szCs w:val="21"/>
          <w:rtl w:val="0"/>
        </w:rPr>
        <w:t xml:space="preserve">reports for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CT HEAD W/O CONTRAST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CT HEAD W/ &amp; W/O CONTRAST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CT HEAD W/ CONTRAST</w:t>
      </w:r>
      <w:r w:rsidDel="00000000" w:rsidR="00000000" w:rsidRPr="00000000">
        <w:rPr>
          <w:sz w:val="21"/>
          <w:szCs w:val="21"/>
          <w:rtl w:val="0"/>
        </w:rPr>
        <w:t xml:space="preserve"> pulled from the note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exclusion (a real strength): </w:t>
      </w:r>
      <w:r w:rsidDel="00000000" w:rsidR="00000000" w:rsidRPr="00000000">
        <w:rPr>
          <w:sz w:val="21"/>
          <w:szCs w:val="21"/>
          <w:rtl w:val="0"/>
        </w:rPr>
        <w:t xml:space="preserve">patients whose admission diagnosis is itself a neurological indication for CT (trauma, stroke, tumor, CNS infection, hydrocephalus, post-neurosurgery, seizure, anoxic injury, …) are excluded, so the model does not simply learn 'structural neurological disease → imaging.' ICD-9/10 lists are in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ICD codes to exclude.docx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00000"/>
          <w:sz w:val="19"/>
          <w:szCs w:val="19"/>
          <w:rtl w:val="0"/>
        </w:rPr>
        <w:t xml:space="preserve">[DECISION]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Confirm the exclusion list is clinically complete and that the neuro-indication exclusion is the intended target population for the paper's claim (i.e., 'ICU patients scanned without a pre-existing structural neuro indication'). This defines exactly who the tool would apply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3.1 Cohort composition (from the repo)</w:t>
      </w: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200"/>
        <w:gridCol w:w="1400"/>
        <w:gridCol w:w="3200"/>
        <w:tblGridChange w:id="0">
          <w:tblGrid>
            <w:gridCol w:w="4200"/>
            <w:gridCol w:w="14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CT label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Handling in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Negative (no acute finding)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3,383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Modeled (majority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Positive (acute finding)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1,004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Modeled (minority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[DECISION] — excluded? sensitivity analysis?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Post-surgical / 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[DECISION] — excluded? separate class?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00000"/>
          <w:sz w:val="19"/>
          <w:szCs w:val="19"/>
          <w:rtl w:val="0"/>
        </w:rPr>
        <w:t xml:space="preserve">[DECISION]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Pre-specify, once, how Unclear (169) and Post-surgical/Unchanged (82) are handled, and state it in the methods. Current modeling is Positive-vs-Negative; make the exclusion of the other two explicit and justified rather than incidental.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Outcome Labeling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[BUILT]</w:t>
      </w:r>
      <w:r w:rsidDel="00000000" w:rsidR="00000000" w:rsidRPr="00000000">
        <w:rPr>
          <w:sz w:val="19"/>
          <w:szCs w:val="19"/>
          <w:rtl w:val="0"/>
        </w:rPr>
        <w:t xml:space="preserve">  + </w:t>
      </w: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[TO ADD: validation — the #1 gap]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Labels are assigned by rule-based regular expressions over the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IMPRESSION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FINDINGS</w:t>
      </w:r>
      <w:r w:rsidDel="00000000" w:rsidR="00000000" w:rsidRPr="00000000">
        <w:rPr>
          <w:sz w:val="21"/>
          <w:szCs w:val="21"/>
          <w:rtl w:val="0"/>
        </w:rPr>
        <w:t xml:space="preserve"> sections into Negative / Positive / Post-surgical-Unchanged / Unclear, with Positive sub-typed into Hemorrhage, Infarct, Fracture, Mass Effect, Hydrocephalus, and with negation handling. Implemented in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Classifying CT reports.sql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00000"/>
          <w:sz w:val="21"/>
          <w:szCs w:val="21"/>
          <w:rtl w:val="0"/>
        </w:rPr>
        <w:t xml:space="preserve">The gap that reviewers will catch immediately: </w:t>
      </w:r>
      <w:r w:rsidDel="00000000" w:rsidR="00000000" w:rsidRPr="00000000">
        <w:rPr>
          <w:sz w:val="21"/>
          <w:szCs w:val="21"/>
          <w:rtl w:val="0"/>
        </w:rPr>
        <w:t xml:space="preserve">the regex labels have no reported validation against a clinician-adjudicated ground truth. Without it, the entire outcome — and every downstream result — is questionable. This is the single highest-value addition to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4.1 Label-validation plan  [TO ADD]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Gold set: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draw a stratified random sample of ~300–500 reports (over-sampling Positive and Unclear).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Double annotation: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clinicians label against a written codebook; a third resolves disagreements. Report Cohen's / Fleiss' 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Pipeline metrics: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the regex labeler's sensitivity, specificity, PPV, NPV, and confusion matrix vs. the gold set; report per-subtype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Acceptance gate: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agree a threshold (e.g., κ ≥ 0.80) below which the labeler is revised before any modeling result is considered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00000"/>
          <w:sz w:val="19"/>
          <w:szCs w:val="19"/>
          <w:rtl w:val="0"/>
        </w:rPr>
        <w:t xml:space="preserve">[DECISION]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Physician lead to (a) sign off the positive-finding codebook and borderline handling (small stable subdural, microhemorrhage, chronic-only), and (b) set the κ acceptance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Features (4-hour pre-scan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[BUILT]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 candidate predictors + MIMIC itemids in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predictive variables.docx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900"/>
        <w:gridCol w:w="6900"/>
        <w:tblGridChange w:id="0">
          <w:tblGrid>
            <w:gridCol w:w="1900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Neurological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GCS (eye/verbal/motor/total + delta from baseline), RASS sedation, pupil size &amp; reactivity, CAM-ICU delirium, seizure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MAP, systolic BP, heart rate, SpO2, respiratory rate, temperature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INR, PTT, platelets, sodium, glucose (+ coagulopathy / hyponatremia flags)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New vasopressor, new antiepileptic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ICU type, shift, hours since ICU admission, demographics (age, sex, race)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Design strength: </w:t>
      </w:r>
      <w:r w:rsidDel="00000000" w:rsidR="00000000" w:rsidRPr="00000000">
        <w:rPr>
          <w:sz w:val="21"/>
          <w:szCs w:val="21"/>
          <w:rtl w:val="0"/>
        </w:rPr>
        <w:t xml:space="preserve">features use only data available before the scan and explicitly encode neuro deltas (GCS change), which partly addresses the sedation-confounds-GCS problem via RASS + baseline-referenced GCS. Worth stating this as a deliberate methodological choice in the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[TO ADD]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Report and justify missing-data handling. The repo drops high-missingness columns (pupillometry, temperature, PCO2, MAP); make the drop rule explicit and consider a sensitivity analysis with imputation, since dropping may discard clinically important signal (pupils).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[BUILT]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  Positive-vs-Negative, 5 models, leakage-safe splits, SHAP.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binary Positive vs. Negative.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Logistic Regression, Random Forest, Gradient Boosting, SVM, KNN.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GroupShuffleSplit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patient ID (no patient in both train and test — correct leakage control).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Interpretation: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SHAP feature importance. Implemented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Final dataset and code/ML_models_CT_head.ipynb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[TO ADD]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For publication: (a) report a clear primary model and pre-registered primary metric rather than a model zoo; (b) add class-imbalance handling (class weights / resampling) and report AUPRC prominently; (c) nested or repeated CV with confidence intervals, not a single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d32"/>
          <w:sz w:val="19"/>
          <w:szCs w:val="19"/>
          <w:rtl w:val="0"/>
        </w:rPr>
        <w:t xml:space="preserve">[BUILT: AUROC/AUPRC/accuracy/Brier]</w:t>
      </w:r>
      <w:r w:rsidDel="00000000" w:rsidR="00000000" w:rsidRPr="00000000">
        <w:rPr>
          <w:sz w:val="19"/>
          <w:szCs w:val="19"/>
          <w:rtl w:val="0"/>
        </w:rPr>
        <w:t xml:space="preserve">  + </w:t>
      </w:r>
      <w:r w:rsidDel="00000000" w:rsidR="00000000" w:rsidRPr="00000000">
        <w:rPr>
          <w:b w:val="1"/>
          <w:bCs w:val="1"/>
          <w:color w:val="2e74b5"/>
          <w:sz w:val="19"/>
          <w:szCs w:val="19"/>
          <w:rtl w:val="0"/>
        </w:rPr>
        <w:t xml:space="preserve">[TO ADD: calibration plots, decision curves]</w:t>
      </w: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3200"/>
        <w:gridCol w:w="1400"/>
        <w:gridCol w:w="4200"/>
        <w:tblGridChange w:id="0">
          <w:tblGrid>
            <w:gridCol w:w="3200"/>
            <w:gridCol w:w="14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Overall discrimination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AUPRC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Robustness under imbalance (Positive is minority)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Brier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Calibration (numeric)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Calibration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Reviewers expect the plot, not just Brier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Sensitivity / NPV @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Clinical crux — safe rule-out of low-yield scans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Decision curve / net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Does it actually help ordering decisions?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74b5"/>
          <w:sz w:val="25"/>
          <w:szCs w:val="25"/>
          <w:rtl w:val="0"/>
        </w:rPr>
        <w:t xml:space="preserve">7.1 Subgroup &amp; sensitivity analyses  [TO ADD]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by ICU type and shift (already collected as features).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Sensitivity to Unclear/Post-surgical handling; alternative positive-finding definitions; imputation vs. column-drop.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Fairness check across available demographic groups (age, sex, race).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Interpreting the Current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00000"/>
          <w:sz w:val="19"/>
          <w:szCs w:val="19"/>
          <w:rtl w:val="0"/>
        </w:rPr>
        <w:t xml:space="preserve">[DECISION — needs clinical explanation before publication]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datathon models surfaced these directions: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Higher PTT, INR, and low platelets → more likely Negative 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Lower GCS motor &amp; verbal → more likely Positive 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Higher respiratory rate → more likely Positive 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coagulation direction is clinically counterintuitive </w:t>
      </w:r>
      <w:r w:rsidDel="00000000" w:rsidR="00000000" w:rsidRPr="00000000">
        <w:rPr>
          <w:sz w:val="21"/>
          <w:szCs w:val="21"/>
          <w:rtl w:val="0"/>
        </w:rPr>
        <w:t xml:space="preserve">— one might expect coagulopathy to raise bleeding risk and thus Positive scans. The observed inversion is most likely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selection / collider effect</w:t>
      </w:r>
      <w:r w:rsidDel="00000000" w:rsidR="00000000" w:rsidRPr="00000000">
        <w:rPr>
          <w:sz w:val="21"/>
          <w:szCs w:val="21"/>
          <w:rtl w:val="0"/>
        </w:rPr>
        <w:t xml:space="preserve">: coagulopathic patients may be scanned more liberally (lower threshold), diluting the Positive rate, or coagulopathy may co-occur with sedation/metabolic causes of AMS that scan Negative. This needs an explicit clinical interpretation (and possibly a stratified analysis) before it goes in a paper, or it becomes a reviewer flag. The lower-GCS→Positive direction, by contrast, is clinically expected and reassuring.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9. Datathon → Publication: Gap Summary</w:t>
      </w: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00"/>
        <w:gridCol w:w="3600"/>
        <w:gridCol w:w="3700"/>
        <w:tblGridChange w:id="0">
          <w:tblGrid>
            <w:gridCol w:w="1500"/>
            <w:gridCol w:w="36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(blocking)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 label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Clinician gold set + κ vs. regex labeler (Section 4.1)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Counterintuitive coag finding unexplained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Clinical interpretation + stratified analysis (Section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 calibration plot / decision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Add both; frame around ordering decisions (Section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Unclear/Post-surgical handling implicit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Pre-specify and justify (Section 3.1)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Missing-data handling implicit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State drop rule; imputation sensitivity analysis (Section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Model zoo, single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Primary model + CV with CIs + imbalance handling (Section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Selection bias not framed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State scope: 'yield among scanned ICU patients' (Section 1/2)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10. Workstreams &amp; Task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Maps to columns in </w:t>
      </w:r>
      <w:r w:rsidDel="00000000" w:rsidR="00000000" w:rsidRPr="00000000">
        <w:rPr>
          <w:rFonts w:ascii="Consolas" w:cs="Consolas" w:eastAsia="Consolas" w:hAnsi="Consolas"/>
          <w:color w:val="444444"/>
          <w:sz w:val="19"/>
          <w:szCs w:val="19"/>
          <w:rtl w:val="0"/>
        </w:rPr>
        <w:t xml:space="preserve">Datathon-DataTracking.xlsx</w:t>
      </w:r>
      <w:r w:rsidDel="00000000" w:rsidR="00000000" w:rsidRPr="00000000">
        <w:rPr>
          <w:sz w:val="21"/>
          <w:szCs w:val="21"/>
          <w:rtl w:val="0"/>
        </w:rPr>
        <w:t xml:space="preserve"> (already in the repo). Owners/dates set at kickoff.</w:t>
      </w:r>
      <w:r w:rsidDel="00000000" w:rsidR="00000000" w:rsidRPr="00000000">
        <w:rPr>
          <w:rtl w:val="0"/>
        </w:rPr>
      </w:r>
    </w:p>
    <w:tbl>
      <w:tblPr>
        <w:tblStyle w:val="Table5"/>
        <w:tblW w:w="88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500"/>
        <w:gridCol w:w="3400"/>
        <w:gridCol w:w="2600"/>
        <w:gridCol w:w="2300"/>
        <w:tblGridChange w:id="0">
          <w:tblGrid>
            <w:gridCol w:w="500"/>
            <w:gridCol w:w="3400"/>
            <w:gridCol w:w="2600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Label validation (gold set + 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 — priority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Technical + physician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Clinical interpretation of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 — priority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Physician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Calibration + decision-curve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Cohort edge-case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Modeling hardening (CV, imbalance)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Manuscript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Cohort / labeling /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BUILT — maintain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11. Publication Venue — options to 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00000"/>
          <w:sz w:val="19"/>
          <w:szCs w:val="19"/>
          <w:rtl w:val="0"/>
        </w:rPr>
        <w:t xml:space="preserve">[DECISION — not yet chosen]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framing (interpretable, clinically-motivated, utilization-focused) fits several venues. Trade-offs:</w:t>
      </w:r>
      <w:r w:rsidDel="00000000" w:rsidR="00000000" w:rsidRPr="00000000">
        <w:rPr>
          <w:rtl w:val="0"/>
        </w:rPr>
      </w:r>
    </w:p>
    <w:tbl>
      <w:tblPr>
        <w:tblStyle w:val="Table6"/>
        <w:tblW w:w="88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3000"/>
        <w:gridCol w:w="1600"/>
        <w:gridCol w:w="4200"/>
        <w:tblGridChange w:id="0">
          <w:tblGrid>
            <w:gridCol w:w="3000"/>
            <w:gridCol w:w="16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Venue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Med-informatics journal (e.g. JAMIA, npj Digital Medicine)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Values clinical validation + interpretability; label-validation gap must be closed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Clinical / critical-care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Strong if yield-focused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Emphasize the clinical decision (imaging utilization), less on ML machinery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ML-for-health venue (ML4H / CHIL)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Faster; expects methodological novelty — the ICU pre-scan design + interpretability angle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Recommendation to discuss: </w:t>
      </w:r>
      <w:r w:rsidDel="00000000" w:rsidR="00000000" w:rsidRPr="00000000">
        <w:rPr>
          <w:sz w:val="21"/>
          <w:szCs w:val="21"/>
          <w:rtl w:val="0"/>
        </w:rPr>
        <w:t xml:space="preserve">target a med-informatics or critical-care journal, because the contribution is clinical utility and interpretability rather than a new algorithm — but only after the label-validation gap (priority 1) is closed, since that is exactly what these venues scrutinize.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12. Open Decisions for the Next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neuro-indication exclusion defines the intended target population (Section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Finalize the positive-finding codebook + κ acceptance threshold (Section 4.1).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Decide Unclear (169) and Post-surgical (82) handling (Section 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a clinical read on the counterintuitive coagulation finding (Section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Agree missing-data strategy (drop vs. impute) (Section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Choose publication venue and authorship/contributorship policy (Section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d9e2f3" w:space="1" w:sz="12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Working draft, reconciled against the repo for team review. Comment and suggest edits directly. — Technical lead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H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inaboya/Signal2Sc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