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Potential-deprivation accessibility across 67 European cities</w:t>
      </w:r>
    </w:p>
    <w:p>
      <w:pPr>
        <w:spacing w:after="80" w:before="80"/>
      </w:pPr>
      <w:r>
        <w:rPr>
          <w:b w:val="false"/>
          <w:bCs w:val="false"/>
          <w:i/>
          <w:iCs/>
          <w:color w:val="6b6963"/>
          <w:sz w:val="20"/>
          <w:szCs w:val="20"/>
        </w:rPr>
        <w:t xml:space="preserve">Evidence pack: each claim with its supporting figure and table, a reader's guide to every statistical test (section 3), and the full glossary of abbreviations and indicators (section 6). Generated 2026-08-13 from the depacc-results branch. Two values still await Paris's final routing rounds and are flagged; everything else is final.</w:t>
      </w:r>
    </w:p>
    <w:p>
      <w:pPr>
        <w:pStyle w:val="Heading1"/>
        <w:spacing w:after="100" w:before="240"/>
      </w:pPr>
      <w:r>
        <w:t xml:space="preserve">1. The sample and descriptive statistics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67 functional urban areas (FUAs) in 24 countries, 113.9 million inhabitants in total, drawn by the stratified design (4 macro-regions x 4 size strata), populations from 101,000 (Lomza) to 12.9 million (Paris), median 1.0 million. Routing: r5 over OpenStreetMap networks; walk for everyday services, car for emergency care.</w:t>
      </w:r>
    </w:p>
    <w:p>
      <w:pPr>
        <w:spacing w:after="80" w:before="80"/>
      </w:pPr>
      <w:r>
        <w:rPr>
          <w:b/>
          <w:bCs/>
          <w:i w:val="false"/>
          <w:iCs w:val="false"/>
          <w:sz w:val="20"/>
          <w:szCs w:val="20"/>
        </w:rPr>
        <w:t xml:space="preserve">Sample composition (number of cities):</w:t>
      </w:r>
    </w:p>
    <w:tbl>
      <w:tblPr>
        <w:tblW w:type="dxa" w:w="78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1300"/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Region</w:t>
            </w:r>
          </w:p>
        </w:tc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100–250k</w:t>
            </w:r>
          </w:p>
        </w:tc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250k–1M</w:t>
            </w:r>
          </w:p>
        </w:tc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1–5M</w:t>
            </w:r>
          </w:p>
        </w:tc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&gt;5M</w:t>
            </w:r>
          </w:p>
        </w:tc>
        <w:tc>
          <w:tcPr>
            <w:tcW w:type="dxa" w:w="1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</w:tr>
      <w:t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North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West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South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CEE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80"/>
      </w:pPr>
      <w:r>
        <w:rPr>
          <w:b/>
          <w:bCs/>
          <w:i w:val="false"/>
          <w:iCs w:val="false"/>
          <w:sz w:val="20"/>
          <w:szCs w:val="20"/>
        </w:rPr>
        <w:t xml:space="preserve">Key indicators across the 67 cities (population-weighted within each city, then summarised across cities):</w:t>
      </w:r>
    </w:p>
    <w:tbl>
      <w:tblPr>
        <w:tblW w:type="dxa" w:w="95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3300"/>
        <w:gridCol w:w="1200"/>
        <w:gridCol w:w="1200"/>
        <w:gridCol w:w="1200"/>
        <w:gridCol w:w="1200"/>
        <w:gridCol w:w="1400"/>
      </w:tblGrid>
      <w:tr>
        <w:tc>
          <w:tcPr>
            <w:tcW w:type="dxa" w:w="3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Indicator</w:t>
            </w:r>
          </w:p>
        </w:tc>
        <w:tc>
          <w:tcPr>
            <w:tcW w:type="dxa" w:w="12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</w:t>
            </w:r>
          </w:p>
        </w:tc>
        <w:tc>
          <w:tcPr>
            <w:tcW w:type="dxa" w:w="12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SD</w:t>
            </w:r>
          </w:p>
        </w:tc>
        <w:tc>
          <w:tcPr>
            <w:tcW w:type="dxa" w:w="12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Min</w:t>
            </w:r>
          </w:p>
        </w:tc>
        <w:tc>
          <w:tcPr>
            <w:tcW w:type="dxa" w:w="12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Median</w:t>
            </w:r>
          </w:p>
        </w:tc>
        <w:tc>
          <w:tcPr>
            <w:tcW w:type="dxa" w:w="1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Max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population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1,700,110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2,104,313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101,050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1,006,055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12,886,280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mean_everyday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0.301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0.098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0.104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0.289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0.505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mean_emergency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0.216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0.085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0.17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0.801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gini_everyday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0.468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0.089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0.272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0.492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0.625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gini_emergency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0.459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0.111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0.231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0.445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0.774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spearman_rho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0.166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-0.019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0.743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divergence_gap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-0.009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0.134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-0.296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-0.007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0.328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compounding_pop_share_50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0.333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0.042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0.233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0.328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compounding_intensity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0.381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0.021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0.323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0.381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0.434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pop_share_beyond_everyday_30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0.279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0.132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0.057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0.275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0.561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pop_share_beyond_emergency_30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0.068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0.074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0.043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0.287</w:t>
            </w:r>
          </w:p>
        </w:tc>
      </w:tr>
    </w:tbl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cross/cityplane.csv (one row per city); the full per-city table is attached as cities_descriptives.csv.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Reading aids: mean_everyday is on [0,1] (0.30 = the average resident sits between the 15-minute ideal and full deprivation); mean_emergency is in multiples of the 45-minute-threshold deprivation (0.22 = well below it); Gini 0 = equal, 1 = maximal; divergence_gap &gt; 0 = the city's inequality is emergency-side; rho near 0 = the two deprivation maps are unrelated, high = the same areas lose twice.</w:t>
      </w:r>
    </w:p>
    <w:p>
      <w:pPr>
        <w:pStyle w:val="Heading1"/>
        <w:spacing w:after="100" w:before="240"/>
      </w:pPr>
      <w:r>
        <w:t xml:space="preserve">2. The claims, each with its evidence</w:t>
      </w:r>
    </w:p>
    <w:p>
      <w:pPr>
        <w:pStyle w:val="Heading2"/>
        <w:spacing w:after="100" w:before="240"/>
      </w:pPr>
      <w:r>
        <w:t xml:space="preserve">H1 — City size buys everyday access, but not emergency care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Mean everyday deprivation falls ~19% per e-fold of population; mean emergency deprivation shows no detectable gradient, bounded within ±0.13 (TOST). The slope difference is itself significant.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2300"/>
        <w:gridCol w:w="3200"/>
        <w:gridCol w:w="29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Estimate</w:t>
            </w:r>
          </w:p>
        </w:tc>
        <w:tc>
          <w:tcPr>
            <w:tcW w:type="dxa" w:w="32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Inference</w:t>
            </w:r>
          </w:p>
        </w:tc>
        <w:tc>
          <w:tcPr>
            <w:tcW w:type="dxa" w:w="29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Source table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 elasticity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−0.19 (SE 0.023)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wild-cluster p = 0.0002; LOO [−0.20, −0.18]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inference_scaling_clustered.csv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 elasticity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−0.05 (SE 0.047)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 = 0.37; TOST: within ±0.13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inference_equivalence.csv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Slope difference (paired)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+0.14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wild-cluster p = 0.004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inference_regime_paired.csv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Robust re-estimates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Huber −0.19; median −0.21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influence table; desert-excl. −0.20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inference_influence.csv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441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figures/scaling_elasticity.png · scaling.csv (country-FE variant) · inference_*.csv</w:t>
      </w:r>
    </w:p>
    <w:p>
      <w:pPr>
        <w:pStyle w:val="Heading2"/>
        <w:spacing w:after="100" w:before="240"/>
      </w:pPr>
      <w:r>
        <w:t xml:space="preserve">H2 — Everyday inequality grows with size; emergency inequality does not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2300"/>
        <w:gridCol w:w="3800"/>
        <w:gridCol w:w="23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Estimate</w:t>
            </w:r>
          </w:p>
        </w:tc>
        <w:tc>
          <w:tcPr>
            <w:tcW w:type="dxa" w:w="38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Inference</w:t>
            </w:r>
          </w:p>
        </w:tc>
        <w:tc>
          <w:tcPr>
            <w:tcW w:type="dxa" w:w="2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Source table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Everyday-Gini slope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+0.06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wild-cluster p = 0.003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inference_scaling_clustered.csv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Emergency-Gini slope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+0.00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 = 0.94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inference_scaling_clustered.csv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Slope difference (paired)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−0.056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wild p ≈ 0.05 [awaiting Paris; 0.025 with Paris]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inference_regime_paired.csv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Specification curve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+0.02 to +0.08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significant in 12/13 parameterisations (exception: Box-Cox form swap, p = 0.16)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sensitivity/specification_curve.csv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sensitivity/specification_curve.png — every point is the everyday-Gini size slope under one deprivation parameterisation; the ringed point is the baseline.</w:t>
      </w:r>
    </w:p>
    <w:p>
      <w:pPr>
        <w:pStyle w:val="Heading2"/>
        <w:spacing w:after="100" w:before="240"/>
      </w:pPr>
      <w:r>
        <w:t xml:space="preserve">H3 — The divergence has a geography, and it is country-level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Regional contrasts tested by permuting whole countries across regions (the honest unit: region is a property of countries).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400"/>
        <w:gridCol w:w="1700"/>
        <w:gridCol w:w="2600"/>
        <w:gridCol w:w="4300"/>
      </w:tblGrid>
      <w:tr>
        <w:tc>
          <w:tcPr>
            <w:tcW w:type="dxa" w:w="2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Outcome</w:t>
            </w:r>
          </w:p>
        </w:tc>
        <w:tc>
          <w:tcPr>
            <w:tcW w:type="dxa" w:w="17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Cohen f (city)</w:t>
            </w:r>
          </w:p>
        </w:tc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 (country permutation)</w:t>
            </w:r>
          </w:p>
        </w:tc>
        <w:tc>
          <w:tcPr>
            <w:tcW w:type="dxa" w:w="4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gini_emergency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0.002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CEE highest (median ≈0.54)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spearman_rho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0.0016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CEE most coupled (median ≈0.55)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compounding share (HH)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0.0008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regional structure in compounding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divergence_gap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0.67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0.012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West everyday-side, North emergency-side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gini_everyday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0.54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0.33 — NOT significant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 not claim a regional everyday-Gini contrast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6096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figures/region_strips.png · inference_regional.csv</w:t>
      </w:r>
    </w:p>
    <w:p>
      <w:pPr>
        <w:pStyle w:val="Heading2"/>
        <w:spacing w:after="100" w:before="240"/>
      </w:pPr>
      <w:r>
        <w:t xml:space="preserve">H4 — No city types: regional gradients plus an emergency-desert group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k-means and Ward agree on one 62-vs-5 split: București, Rīga, Vilnius, Tallinn, Ljubljana — real separation (null p = 0.001) but an outlier group, not a typology (agreement with the region partition: ARI ≈ 0.07). See section 3 for the full clustering status including the new peeled analysis.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figures/cityplane.png (rings = desert group; grey whiskers = deprivation-curvature envelopes) · cityvector_clustered.csv · cluster_null.csv</w:t>
      </w:r>
    </w:p>
    <w:p>
      <w:pPr>
        <w:pStyle w:val="Heading2"/>
        <w:spacing w:after="100" w:before="240"/>
      </w:pPr>
      <w:r>
        <w:t xml:space="preserve">H5 — Who carries it: children, almost everywhere; the elderly, locally</w:t>
      </w:r>
    </w:p>
    <w:tbl>
      <w:tblPr>
        <w:tblW w:type="dxa" w:w="109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3800"/>
        <w:gridCol w:w="2100"/>
        <w:gridCol w:w="1700"/>
        <w:gridCol w:w="1800"/>
        <w:gridCol w:w="1500"/>
      </w:tblGrid>
      <w:tr>
        <w:tc>
          <w:tcPr>
            <w:tcW w:type="dxa" w:w="38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Stratum (census-harmonised)</w:t>
            </w:r>
          </w:p>
        </w:tc>
        <w:tc>
          <w:tcPr>
            <w:tcW w:type="dxa" w:w="21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Median everyday ratio</w:t>
            </w:r>
          </w:p>
        </w:tc>
        <w:tc>
          <w:tcPr>
            <w:tcW w:type="dxa" w:w="17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Cities &gt; parity</w:t>
            </w:r>
          </w:p>
        </w:tc>
        <w:tc>
          <w:tcPr>
            <w:tcW w:type="dxa" w:w="18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Median HH gap</w:t>
            </w:r>
          </w:p>
        </w:tc>
        <w:tc>
          <w:tcPr>
            <w:tcW w:type="dxa" w:w="15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Cities &gt; 0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Children (share &lt;15, top quartile cells)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1.27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88%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+0.14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88%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Elderly (share ≥65, top quartile cells)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0.96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37%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−0.03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43%</w:t>
            </w:r>
          </w:p>
        </w:tc>
      </w:tr>
    </w:tbl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Ratios use the covered-cell reference. The sharper Hamburg results (elderly 1.37×, low-rent 1.61×) are the Tier-2 national strata — finer data, different definitions, reported per city and never pooled.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28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figures/vulnerability_strata.png · vulnerability.csv (one row per city and stratum) · vulnerability_summary.csv</w:t>
      </w:r>
    </w:p>
    <w:p>
      <w:pPr>
        <w:pStyle w:val="Heading2"/>
        <w:spacing w:after="100" w:before="240"/>
      </w:pPr>
      <w:r>
        <w:t xml:space="preserve">H6 — Compounding is the norm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The HH (deprived-on-both) share exceeds the 25% independence benchmark in nearly every city (sample mean 33%, range 23–43%); coupling rho spans ≈0 to 0.74. The threshold choice moves the HH share ~6× more than any accessibility-model knob, which is why the continuous compounding_intensity is the headline number (regional contrast p_perm = 0.002).</w:t>
      </w:r>
    </w:p>
    <w:p>
      <w:pPr>
        <w:spacing w:after="60" w:before="120"/>
        <w:jc w:val="center"/>
      </w:pPr>
      <w:r>
        <w:drawing>
          <wp:inline distT="0" distB="0" distL="0" distR="0">
            <wp:extent cx="4381500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figures/rho_ranked.png · cityplane.csv (compounding_* columns) · sensitivity acceptance tables (threshold-axis dominance)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Spatial view — eight contrasting cities (read patterns, not cells: ~24% of population flips class between routing engines):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figures/compounding_gallery.png · per-city maps under cities/&lt;city&gt;/figures/</w:t>
      </w:r>
    </w:p>
    <w:p>
      <w:pPr>
        <w:pStyle w:val="Heading2"/>
        <w:spacing w:after="100" w:before="240"/>
      </w:pPr>
      <w:r>
        <w:t xml:space="preserve">H7 — Deprivation is not mere access (and the claims survive both readings)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The pipeline computes deprivation-free travel-time indicators alongside the deprivation surfaces, and the headline regressions run on both. Three readings: (1) robustness — the everyday claim survives in pure access terms and the deprivation Ginis correlate 0.965/0.977 with pure travel-time Ginis, so nothing hinges on the deprivation function; (2) contribution — deprivation is the better-behaved outcome (R² 0.44 vs 0.16) because the DLF discounts welfare-irrelevant variation; (3) access averages cannot see coverage deserts — only the clinically anchored convex DCF exposes them.</w:t>
      </w:r>
    </w:p>
    <w:tbl>
      <w:tblPr>
        <w:tblW w:type="dxa" w:w="10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3300"/>
        <w:gridCol w:w="1900"/>
        <w:gridCol w:w="1700"/>
        <w:gridCol w:w="1600"/>
        <w:gridCol w:w="1500"/>
      </w:tblGrid>
      <w:tr>
        <w:tc>
          <w:tcPr>
            <w:tcW w:type="dxa" w:w="33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Outcome vs size</w:t>
            </w:r>
          </w:p>
        </w:tc>
        <w:tc>
          <w:tcPr>
            <w:tcW w:type="dxa" w:w="19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tcPr>
            <w:tcW w:type="dxa" w:w="17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Elasticity</w:t>
            </w:r>
          </w:p>
        </w:tc>
        <w:tc>
          <w:tcPr>
            <w:tcW w:type="dxa" w:w="1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</w:t>
            </w:r>
          </w:p>
        </w:tc>
        <w:tc>
          <w:tcPr>
            <w:tcW w:type="dxa" w:w="15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R²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 deprivation mean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deprivation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−0.196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&lt;0.0001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0.44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 median travel time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access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−0.237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&lt;0.0001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0.16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 mean travel time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access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−0.178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&lt;0.0001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 deprivation mean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deprivation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−0.058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0.17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0.02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 median travel time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access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−0.042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</w:tr>
      <w:tr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 p90 travel time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access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−0.058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0.02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</w:tr>
    </w:tbl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The honest nuance: emergency access improves marginally with size (p90 −0.06, p = 0.02) — a quarter of the everyday gradient — but it does not translate into deprivation relief: bigger cities get slightly faster, not meaningfully safer.</w:t>
      </w:r>
    </w:p>
    <w:p>
      <w:pPr>
        <w:spacing w:after="80" w:before="80"/>
      </w:pPr>
      <w:r>
        <w:rPr>
          <w:b/>
          <w:bCs/>
          <w:i w:val="false"/>
          <w:iCs w:val="false"/>
          <w:sz w:val="20"/>
          <w:szCs w:val="20"/>
        </w:rPr>
        <w:t xml:space="preserve">The desert demonstration — access averages vs anchored deprivation (ratios to the 67-city sample median):</w:t>
      </w:r>
    </w:p>
    <w:tbl>
      <w:tblPr>
        <w:tblW w:type="dxa" w:w="10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1900"/>
        <w:gridCol w:w="2400"/>
        <w:gridCol w:w="1400"/>
        <w:gridCol w:w="1400"/>
        <w:gridCol w:w="1500"/>
        <w:gridCol w:w="1400"/>
      </w:tblGrid>
      <w:tr>
        <w:tc>
          <w:tcPr>
            <w:tcW w:type="dxa" w:w="19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City</w:t>
            </w:r>
          </w:p>
        </w:tc>
        <w:tc>
          <w:tcPr>
            <w:tcW w:type="dxa" w:w="2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Median emerg. time (min)</w:t>
            </w:r>
          </w:p>
        </w:tc>
        <w:tc>
          <w:tcPr>
            <w:tcW w:type="dxa" w:w="1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vs sample</w:t>
            </w:r>
          </w:p>
        </w:tc>
        <w:tc>
          <w:tcPr>
            <w:tcW w:type="dxa" w:w="1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p90 (min)</w:t>
            </w:r>
          </w:p>
        </w:tc>
        <w:tc>
          <w:tcPr>
            <w:tcW w:type="dxa" w:w="15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Deprivation</w:t>
            </w:r>
          </w:p>
        </w:tc>
        <w:tc>
          <w:tcPr>
            <w:tcW w:type="dxa" w:w="1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vs sample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vilnius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14.0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1.2x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54.5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0.801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4.7x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ljubljana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23.0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1.9x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62.5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0.737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4.3x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riga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13.5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1.1x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43.5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0.500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2.9x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bucuresti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8.5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0.7x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46.5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0.476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2.8x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tallinn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13.0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1.1x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31.5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0.416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2.4x</w:t>
            </w:r>
          </w:p>
        </w:tc>
      </w:tr>
    </w:tbl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Bucharest's median emergency access is BETTER than the sample median (0.7×) while its emergency deprivation is 2.8× — a fifth of its population sits in the far tail that means and medians cannot see.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Why the emergency scatter is wide: size explains 2% of emergency deprivation; the share of population beyond 30-minute emergency care explains 81%, country membership 72%. Coloured by the k-means severity grades, the cloud resolves into three coverage bands with a significant grade structure (slope-×-grade interaction p = 0.010), while the everyday gradient holds within every grade: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</w:pPr>
      <w:r>
        <w:rPr>
          <w:i/>
          <w:iCs/>
          <w:color w:val="6b6963"/>
          <w:sz w:val="16"/>
          <w:szCs w:val="16"/>
        </w:rPr>
        <w:t xml:space="preserve">Evidence files (depacc-results): cross/deprivation_vs_access.csv · cross/desert_access_contrast.csv · cross/scaling_by_grade.csv · figures/scaling_by_coverage_grade.png</w:t>
      </w:r>
    </w:p>
    <w:p>
      <w:pPr>
        <w:pStyle w:val="Heading2"/>
        <w:spacing w:after="100" w:before="240"/>
      </w:pPr>
      <w:r>
        <w:t xml:space="preserve">What is deliberately not claimed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Absolute travel times or Gini levels under the friction engine (understated 34–314%; r5 is primary for this reason).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Per-cell typology classes on any map (engine-sensitive; patterns only).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Causal or longitudinal readings — every gradient is cross-sectional space-for-time.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 regional everyday-Gini contrast (H3) or elderly compounding at the European level (H5).</w:t>
      </w:r>
    </w:p>
    <w:p>
      <w:pPr>
        <w:pStyle w:val="Heading1"/>
        <w:spacing w:after="100" w:before="240"/>
      </w:pPr>
      <w:r>
        <w:t xml:space="preserve">3. How to read the statistical tests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Each test family in the tables: the question it answers, how it works, and how to read its number.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Log-log elasticity (scaling tables)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How does an outcome change with city size? Regress log(outcome) on log(population); the slope is the % change in the outcome per 1% change in population. −0.196 = a city 2.7× larger has ~19% lower mean everyday deprivation; 0 = no size relationship. R² = share of between-city variance size explains (0.44 is a lot for cross-country data; 0.02 essentially none).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Country-clustered standard errors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Cities within a country resemble each other, so the effective sample is ~24 countries, not 67 cities. The SE allows arbitrary within-country error correlation. Always cite the clustered p — the naive p overstates the evidence whenever an outcome has a national component (all of ours do).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Wild cluster bootstrap (p_wild)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Is the clustered p reliable with only ~24 clusters? The regression is re-estimated thousands of times on datasets built by flipping the sign of each country's residual block, null imposed. This is the citable p for the scaling claims; agreement with the clustered p (which holds throughout) means the approximation is fine.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Permutation test over countries (p_perm)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Do macro-regions differ, given that region is a property of whole countries? Compute the between-region F, then reshuffle which countries belong to which region thousands of times; p = share of shuffles with an F at least as large. This is the primary regional evidence. The city-level ANOVA p is shown only as an anti-conservative reference (everyday Gini: city p = 0.001, permutation p = 0.33 — claim dropped).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Cohen f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Group-contrast effect size, independent of significance: 0.10 small, 0.25 medium, 0.40 large. Our regional contrasts sit at 0.5–0.77.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Mixed model (p_mixed)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Region fixed effect + country random intercept — triangulation for the regional tests. Agreement with the permutation p is reassurance.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TOST equivalence test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Can we positively claim a slope is (near) zero, rather than merely failing to detect one? Two one-sided tests that the slope lies within ±bound. smallest_passing_bound = 0.126 means the data support 'the emergency elasticity is within ±0.13' but not '±0.10' — hence 'no detectable scaling, bounded within ±0.13', never 'proven flat'.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Paired regime test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Do the two regimes' size slopes differ within the same cities? Both regimes stacked (two rows per city); the regime × log-size interaction, country-clustered, IS the slope difference. Its wild p is the citable number.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Influence diagnostics (LOO, Cook's, Huber, median regression)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Does any single city carry a result? Refit dropping each city (LOO envelope = range of slopes), find the most influential city (Cook's distance), re-estimate with outlier-robust methods. A narrow LOO envelope containing the main estimate, with robust estimates nearby, means no city is load-bearing.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Clustering diagnostics (silhouette, bootstrap ARI, Gaussian null)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Is a clustering real? Three bars: separation (silhouette ~0.25 weak / 0.5 reasonable / 0.7 strong), stability (bootstrap ARI: recluster resampled cities, 1 = identical, ≥~0.8 stable), and surprise (null p: correlated structureless Gaussian data through the same k-selection). Claim a cluster only if all three pass — and check ARI vs the region partition, since with country nesting a 'cluster' can be a region in costume.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Specification curve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Does a claim depend on the deprivation parameterisation? Re-estimate it once per curvature/form variant and order the estimates. Robust = the whole curve on one side of zero with CIs clear of it; name exceptions (ours: the Box-Cox form swap for the everyday-Gini slope, p = 0.16).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Rank agreement (Spearman ρ / Kendall τ)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Does the ordering of cities survive an assumption change? Correlate city rankings under a variant vs baseline. Min ρ = 0.89 across all deprivation variants: no variant meaningfully reshuffles which cities rank high.</w:t>
      </w:r>
    </w:p>
    <w:p>
      <w:pPr>
        <w:spacing w:after="80" w:before="140"/>
      </w:pPr>
      <w:r>
        <w:rPr>
          <w:b/>
          <w:bCs/>
          <w:i w:val="false"/>
          <w:iCs w:val="false"/>
          <w:sz w:val="20"/>
          <w:szCs w:val="20"/>
        </w:rPr>
        <w:t xml:space="preserve">Slope-×-grade interaction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Once cities are grouped by emergency-coverage grade, does size still matter and do grades genuinely differ? Log deprivation on log size × grade, country-clustered Wald on the grade terms. p = 0.010: the grade structure is real; the small within-grade slopes say size is not what separates the bands.</w:t>
      </w:r>
    </w:p>
    <w:p>
      <w:pPr>
        <w:pStyle w:val="Heading1"/>
        <w:spacing w:after="100" w:before="240"/>
      </w:pPr>
      <w:r>
        <w:t xml:space="preserve">4. k-means clustering: where it stands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Main pass (all 67 cities): k selected by silhouette over 2–6; k-means and Ward agree exactly.</w:t>
      </w:r>
    </w:p>
    <w:tbl>
      <w:tblPr>
        <w:tblW w:type="dxa" w:w="123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900"/>
        <w:gridCol w:w="700"/>
        <w:gridCol w:w="2900"/>
        <w:gridCol w:w="1500"/>
        <w:gridCol w:w="1600"/>
        <w:gridCol w:w="1100"/>
        <w:gridCol w:w="1600"/>
      </w:tblGrid>
      <w:tr>
        <w:tc>
          <w:tcPr>
            <w:tcW w:type="dxa" w:w="29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  <w:tc>
          <w:tcPr>
            <w:tcW w:type="dxa" w:w="7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k</w:t>
            </w:r>
          </w:p>
        </w:tc>
        <w:tc>
          <w:tcPr>
            <w:tcW w:type="dxa" w:w="29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Split</w:t>
            </w:r>
          </w:p>
        </w:tc>
        <w:tc>
          <w:tcPr>
            <w:tcW w:type="dxa" w:w="15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Silhouette</w:t>
            </w:r>
          </w:p>
        </w:tc>
        <w:tc>
          <w:tcPr>
            <w:tcW w:type="dxa" w:w="1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Bootstrap ARI</w:t>
            </w:r>
          </w:p>
        </w:tc>
        <w:tc>
          <w:tcPr>
            <w:tcW w:type="dxa" w:w="11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Null p</w:t>
            </w:r>
          </w:p>
        </w:tc>
        <w:tc>
          <w:tcPr>
            <w:tcW w:type="dxa" w:w="1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ARI vs region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Main (67 cities)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62 / 5 (desert capitals)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0.68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0.002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≈0.07</w:t>
            </w:r>
          </w:p>
        </w:tc>
      </w:tr>
      <w:tr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Peeled (62, deserts removed)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48 / 14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0.38–0.44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0.76–0.78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0.002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</w:tr>
    </w:tbl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The peeled pass (outliers removed, scaling and diagnostics recomputed) does find a second split that clears the null and is not the region partition: 14 cities — Oslo, Stockholm, Göteborg, Stavanger, Aalborg, Turku, Norrköping, Warszawa, Sofia, Zagreb, Palermo, Braila, Lomza, Luxembourg. What distinguishes them is the same axis that defined the desert group, at lower intensity: a real population share beyond the emergency thresholds (12.8% beyond 30 minutes vs 3.5% in the other 47; emergency Gini 0.53 vs 0.42; positive divergence gap).</w:t>
      </w:r>
    </w:p>
    <w:p>
      <w:pPr>
        <w:spacing w:after="80" w:before="80"/>
      </w:pPr>
      <w:r>
        <w:rPr>
          <w:b/>
          <w:bCs/>
          <w:i w:val="false"/>
          <w:iCs w:val="false"/>
          <w:sz w:val="20"/>
          <w:szCs w:val="20"/>
        </w:rPr>
        <w:t xml:space="preserve">Interpretation: European cities do not fall into multi-dimensional types. The only recoverable discrete structure is a severity ordering along ONE axis — emergency-periphery coverage: universal-coverage cities → partial-desert cities (the 14) → desert capitals (the 5). The second cut is moderate (silhouette ≈0.4, below the ≈0.5 'reasonable' bar) and only borderline bootstrap-stable (≈0.77), so present it as a gradient made visible, not as two city types.</w:t>
      </w:r>
    </w:p>
    <w:p>
      <w:pPr>
        <w:spacing w:after="80" w:before="80"/>
      </w:pPr>
      <w:r>
        <w:rPr>
          <w:b w:val="false"/>
          <w:bCs w:val="false"/>
          <w:i/>
          <w:iCs/>
          <w:color w:val="6b6963"/>
          <w:sz w:val="20"/>
          <w:szCs w:val="20"/>
        </w:rPr>
        <w:t xml:space="preserve">Status: these peeled numbers are computed locally on the current 66/67-city tables and feature sets (slope features included where published; 8 DE/FR cities median-imputed on the SES slope by the documented bound). The CI version (cluster_null_peeled.csv, 999 null simulations, and Paris included) lands with the running batch's collect and my final report; expect the same qualitative picture.</w:t>
      </w:r>
    </w:p>
    <w:p>
      <w:pPr>
        <w:pStyle w:val="Heading1"/>
        <w:spacing w:after="100" w:before="240"/>
      </w:pPr>
      <w:r>
        <w:t xml:space="preserve">5. Still pending</w:t>
      </w:r>
    </w:p>
    <w:p>
      <w:pPr>
        <w:spacing w:after="80" w:before="8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Paris routing resume rounds (automated). Until its final collect: the paired Gini-slope p (H2) and the CI peeled-clustering table are provisional; every other number above is final. The repo copy of this material (docs/results-headlines.md) updates automatically when Paris lands.</w:t>
      </w:r>
    </w:p>
    <w:p>
      <w:pPr>
        <w:pStyle w:val="Heading1"/>
        <w:spacing w:after="100" w:before="240"/>
      </w:pPr>
      <w:r>
        <w:t xml:space="preserve">6. Glossary of abbreviations and indicators</w:t>
      </w:r>
    </w:p>
    <w:p>
      <w:pPr>
        <w:pStyle w:val="Heading2"/>
        <w:spacing w:after="100" w:before="240"/>
      </w:pPr>
      <w:r>
        <w:t xml:space="preserve">Study design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84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Term</w:t>
            </w:r>
          </w:p>
        </w:tc>
        <w:tc>
          <w:tcPr>
            <w:tcW w:type="dxa" w:w="8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FUA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Functional Urban Area (Eurostat/OECD): a city plus its commuting zone — the unit 'city' in this study.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Tier 1 / Tier 2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 depth. Tier 1 = every sampled FUA (EU-harmonised data). Tier 2 = deep-dive cities (DE/NL/FR…) with national fine-grid SES data and optionally transit.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everyday regime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GP, pharmacy, supermarket, school, green space — chosen, repeated, substitutable services accessed on foot; deprivation from a gravity-type potential measure.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emergency regime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Emergency-department hospital and ambulance station — non-substitutable, time-critical — accessed by car; deprivation from the nearest facility only.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space-for-time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Reading the cross-sectional city-size gradient as a development trajectory; no longitudinal data is used.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macro-regions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North (SE/NO/DK/FI), West (DE/NL/FR/BE/AT/LU), South (ES/IT/PT/EL), CEE (PL/CZ/RO/HU/SK, Baltics, HR/SI/BG).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E.1–E.5 / A–F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Validation exercises (engine cross-check, OSM completeness, external benchmark, resolution check, face validation) / plan workstreams.</w:t>
            </w:r>
          </w:p>
        </w:tc>
      </w:tr>
    </w:tbl>
    <w:p>
      <w:pPr>
        <w:pStyle w:val="Heading2"/>
        <w:spacing w:after="100" w:before="240"/>
      </w:pPr>
      <w:r>
        <w:t xml:space="preserve">Deprivation model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84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Term</w:t>
            </w:r>
          </w:p>
        </w:tc>
        <w:tc>
          <w:tcPr>
            <w:tcW w:type="dxa" w:w="8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DLF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Deprivation Loss Function — the everyday regime's increasing S-shaped (logistic) function of effective travel time, in [0,1]. Parameters: t0 (inflection ≈ the 15-minute-city threshold), k (steepness), Lmax (ceiling).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DCF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Deprivation Cost Function — the emergency regime's convex, unbounded (Box-Cox) function of nearest travel time; λ ≈ 1.8 calibrated to clinical time-to-care anchors; reported in multiples of g(45 min), so 1.0 = the deprivation of arriving at the 45-minute threshold.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2SFCA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Two-Step Floating Catchment Area — the congestion adjustment: a facility serving many people relative to capacity inflates the effective travel time of its users. γ (gamma) sets how strongly congestion bites.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soft-min (κ)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 smooth minimum over reachable facilities: several nearby options beat the single nearest by a substitutability bonus ln(n)/κ. κ→∞ = plain nearest.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t_eff / t_nearest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Per-service effective (congestion-adjusted, soft-min) travel time / plain nearest-facility time, minutes.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t_regime_*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Composite travel time per regime (weighted mean over services) — deprivation-function-free; feeds the level indicators.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composite / weights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Regime deprivation = weighted mean of per-service deprivations (school and green sub-types weigh 0.5 each).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finite_fill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large-but-finite time (default 120 min) assigned when a routable cell cannot reach a service within the walk cutoff — keeps the cell on the map at ~maximal deprivation. Level indicators contain this constant.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unreachable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 cell with no network path to any facility of any service (masked grey on maps) — distinct from reachable-but-service-deprived.</w:t>
            </w:r>
          </w:p>
        </w:tc>
      </w:tr>
    </w:tbl>
    <w:p>
      <w:pPr>
        <w:pStyle w:val="Heading2"/>
        <w:spacing w:after="100" w:before="240"/>
      </w:pPr>
      <w:r>
        <w:t xml:space="preserve">Indicators (city tables)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84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Term</w:t>
            </w:r>
          </w:p>
        </w:tc>
        <w:tc>
          <w:tcPr>
            <w:tcW w:type="dxa" w:w="8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mean_everyday / mean_emergency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Population-weighted mean deprivation per regime (everyday in [0,1]; emergency in multiples of g(45 min)).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gini_everyday / gini_emergency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Population-weighted Gini (0 = equal, 1 = maximal inequality) of each deprivation surface within the city.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gini_t_*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same Gini computed on travel times — the deprivation-function-free companion.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divergence_gap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gini_emergency − gini_everyday. Positive = the city's inequality problem is emergency-side; negative = everyday-side.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spearman_rho (ρ)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Rank correlation between the everyday and emergency percentile surfaces: 0 = unrelated maps; high = the same areas lose twice.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LL / LH / HL / HH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co-location typology at the median split of both percentile surfaces; HH = high on both = compounding. HH &gt; 25% = above-independence.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compounding_pop_share_50 / _75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HH population share at the median / 75th-percentile split.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compounding_intensity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Population-weighted mean of min(everyday pct, emergency pct) — the continuous compounding measure; 1/3 independent, 1/2 coupled, 1/4 divergent.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jaccard_high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Overlap of the two 'high' sets (intersection/union) — threshold-based coupling companion to ρ.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pop_share_beyond_X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Population beyond X minutes of composite regime time — policy-threshold levels (contain the finite_fill constant).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p90_p50_ratio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90th/50th percentile of the surface — tail inequality.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elasticity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Slope of log(outcome) on log(population): % change in the outcome per 1% change in city size.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slope_density_* / slope_ses_*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Within-city gradients of deprivation on density / on the harmonised SES covariate, used as cross-city features.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coverage grade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k-means severity ordering of emergency coverage: covered / partial desert (the peeled 14) / desert (the 5 capitals).</w:t>
            </w:r>
          </w:p>
        </w:tc>
      </w:tr>
    </w:tbl>
    <w:p>
      <w:pPr>
        <w:pStyle w:val="Heading2"/>
        <w:spacing w:after="100" w:before="240"/>
      </w:pPr>
      <w:r>
        <w:t xml:space="preserve">Equity / vulnerability tables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84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Term</w:t>
            </w:r>
          </w:p>
        </w:tc>
        <w:tc>
          <w:tcPr>
            <w:tcW w:type="dxa" w:w="8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SES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Socio-economic covariates (ses_* columns): EU census shares (age, employment, foreign-born) and national grids (rent, ownership…).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stratum / level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 population subgroup (e.g. elderly = top-quartile share-65+ cells). level names the data layer: age_census (EU-harmonised, pooled cross-city), age_national, income_tier2 (per-city only, never pooled).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covered reference (*_covered)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comparison group restricted to cells where the stratum's SES column is actually published — the honest base.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ratio / hh_share_gap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Stratum mean deprivation ÷ reference (1 = parity, 1.3 = 30% more); stratum HH share − reference HH share.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concentration index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SES-rank-based inequality measure of deprivation (negative = deprivation concentrated among low-SES cells).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coverage_pop_share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Share of the city's population in cells where the SES column has a value — the gate for trusting a stratum.</w:t>
            </w:r>
          </w:p>
        </w:tc>
      </w:tr>
    </w:tbl>
    <w:p>
      <w:pPr>
        <w:pStyle w:val="Heading2"/>
        <w:spacing w:after="100" w:before="240"/>
      </w:pPr>
      <w:r>
        <w:t xml:space="preserve">Data and infrastructure</w:t>
      </w:r>
    </w:p>
    <w:tbl>
      <w:tblPr>
        <w:tblW w:type="dxa" w:w="11000"/>
        <w:tblBorders>
          <w:top w:val="single" w:color="CFCFCB" w:sz="2"/>
          <w:left w:val="single" w:color="CFCFCB" w:sz="2"/>
          <w:bottom w:val="single" w:color="CFCFCB" w:sz="2"/>
          <w:right w:val="single" w:color="CFCFCB" w:sz="2"/>
          <w:insideH w:val="single" w:color="CFCFCB" w:sz="2"/>
          <w:insideV w:val="single" w:color="CFCFCB" w:sz="2"/>
        </w:tblBorders>
      </w:tblPr>
      <w:tblGrid>
        <w:gridCol w:w="2600"/>
        <w:gridCol w:w="8400"/>
      </w:tblGrid>
      <w:tr>
        <w:tc>
          <w:tcPr>
            <w:tcW w:type="dxa" w:w="26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Term</w:t>
            </w:r>
          </w:p>
        </w:tc>
        <w:tc>
          <w:tcPr>
            <w:tcW w:type="dxa" w:w="8400"/>
            <w:shd w:fill="F2F2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OSM / Overpass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OpenStreetMap and its query API — the facility source (completeness-benchmarked; extractions carry an expiry so all cities share an era).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GHS-POP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Global Human Settlement 100 m population grid — the analysis grid.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Eurostat Census 2021 grid / GISCO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EU-harmonised 1 km census grid (age, employment, origin) broadcast onto the 100 m grid (ses_census_*).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EMP gap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Employment is voluntary in the census grid; DE and FR did not report it — their cities carry no harmonised SES slope by design (never substituted).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Zensus / INSEE / CBS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National statistical sources for Tier-2 fine grids (DE 100 m, FR 200 m, NL 100 m).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r5 / R5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Conveyal's routing engine (via r5py) — the primary travel-time engine over OSM networks.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friction (surface)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1 km cost-distance rasters — the fast routing path, demoted to sensitivity variant after E.1 (levels off 34–314%; aggregate shares and ρ survive).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OD matrix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Origin–destination travel-time table (cells × facilities) per service and mode; carries a provenance sidecar naming the engine that built it.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reverse routing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Routing from the (few) facilities instead of the (many) cells — the transpose that makes an r5 city cost ~minutes.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routing budget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per-run cap that stops routing cleanly with progress checkpointed (a green, resumable stop) — why big cities take several rounds.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ED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Emergency department (hospital with emergency care).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INKAR / BBSR · ABDA / Krankenhausverzeichnis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German federal accessibility indicators (external benchmark, passed) · German pharmacy/hospital registries (completeness benchmark, passed).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depacc-results</w:t>
            </w:r>
          </w:p>
        </w:tc>
        <w:tc>
          <w:tcPr>
            <w:tcW w:type="dxa" w:w="8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The orphan git branch where every run accumulates its summary tables and figures — the single source for all numbers above.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9397c97c948303e6ac6347131fda1221fbbe1.png"/><Relationship Id="rId8" Type="http://schemas.openxmlformats.org/officeDocument/2006/relationships/image" Target="media/16843794d98dceace58a85d4f181ef01cb7a66bb.png"/><Relationship Id="rId9" Type="http://schemas.openxmlformats.org/officeDocument/2006/relationships/image" Target="media/93d9ae205105736deba0ad0e593c835d496db989.png"/><Relationship Id="rId10" Type="http://schemas.openxmlformats.org/officeDocument/2006/relationships/image" Target="media/bd84bd662214a7ac837a6e2333dd831673e7eae1.png"/><Relationship Id="rId11" Type="http://schemas.openxmlformats.org/officeDocument/2006/relationships/image" Target="media/95f143142668b6a683c664b924972b5117ce1170.png"/><Relationship Id="rId12" Type="http://schemas.openxmlformats.org/officeDocument/2006/relationships/image" Target="media/f85f2a7c64ed24ccf8753232f486a1b1edfb02b3.png"/><Relationship Id="rId13" Type="http://schemas.openxmlformats.org/officeDocument/2006/relationships/image" Target="media/f4664c7a2bf70a1ce279a59f0da9a94bffe6fb96.png"/><Relationship Id="rId14" Type="http://schemas.openxmlformats.org/officeDocument/2006/relationships/image" Target="media/cf755e14ee40a7b1c8f3e426e1c2ede5fd33d4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2026-08-13T18:05:58.638Z</dcterms:created>
  <dcterms:modified xsi:type="dcterms:W3CDTF">2026-08-13T18:05:58.639Z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