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44"/>
        </w:rPr>
        <w:t>Deprivation accessibility in European cities</w:t>
      </w:r>
    </w:p>
    <w:p>
      <w:pPr>
        <w:jc w:val="center"/>
      </w:pPr>
      <w:r>
        <w:rPr>
          <w:b w:val="0"/>
          <w:i w:val="0"/>
          <w:sz w:val="28"/>
        </w:rPr>
        <w:t>Evidence document — headline results with tables and figures</w:t>
      </w:r>
    </w:p>
    <w:p>
      <w:pPr>
        <w:jc w:val="center"/>
      </w:pPr>
      <w:r>
        <w:rPr>
          <w:b w:val="0"/>
          <w:i w:val="0"/>
          <w:color w:val="595959"/>
          <w:sz w:val="18"/>
        </w:rPr>
        <w:t>Built 2026-08-18 from docs/paper-pack/ (claude/paper-readiness-verification-uknfe2 @ ab93f32) by tools/build_evidence_doc.py</w:t>
      </w:r>
    </w:p>
    <w:p>
      <w:r>
        <w:rPr>
          <w:b w:val="0"/>
          <w:i w:val="0"/>
        </w:rPr>
      </w:r>
    </w:p>
    <w:p>
      <w:pPr>
        <w:pStyle w:val="Heading2"/>
      </w:pPr>
      <w:r>
        <w:t>Status and provenance</w:t>
      </w:r>
    </w:p>
    <w:p>
      <w:pPr>
        <w:pStyle w:val="ListBullet"/>
      </w:pPr>
      <w:r>
        <w:t>Sample complete and final: 67 functional urban areas in 24 countries (F.2 stratified draw, 4 macro-regions × 4 size strata), routed with r5 over OSM networks — walk for everyday services, car for emergency care.</w:t>
      </w:r>
    </w:p>
    <w:p>
      <w:pPr>
        <w:pStyle w:val="ListBullet"/>
      </w:pPr>
      <w:r>
        <w:t>Final state produced by batch runs 32012438178 + 32055983121 on the depacc-results branch; every table below is recomputed from docs/paper-pack/data/ at build time.</w:t>
      </w:r>
    </w:p>
    <w:p>
      <w:pPr>
        <w:pStyle w:val="ListBullet"/>
      </w:pPr>
      <w:r>
        <w:t>Emergency deprivation is reported in multiples of g(15 min) — 1.0 = the deprivation cost of arriving at the 15-minute EMS upper target. The re-anchoring from the superseded g(45 min) unit (factor 6.7307) was verified to machine precision on the artifact-seeded cities: identical ranks, Ginis and ratios.</w:t>
      </w:r>
    </w:p>
    <w:p>
      <w:pPr>
        <w:pStyle w:val="ListBullet"/>
      </w:pPr>
      <w:r>
        <w:t>EMS benchmark structure used throughout: negligible cost at the 3–4-minute ideal, the widely used (contested) 8-minute urban response standard, the 15-minute upper target as the real cut-off. Beyond 15 minutes no benchmark exists; conclusions that depend on the beyond-cut-off escalation form are reported conditionally (H2).</w:t>
      </w:r>
    </w:p>
    <w:p>
      <w:pPr>
        <w:pStyle w:val="ListBullet"/>
      </w:pPr>
      <w:r>
        <w:t>Prose-vs-table consistency of the paper pack is checked by tools/audit_paper_pack.py (runs in CI).</w:t>
      </w:r>
    </w:p>
    <w:p>
      <w:r>
        <w:br w:type="page"/>
      </w:r>
    </w:p>
    <w:p>
      <w:pPr>
        <w:pStyle w:val="Heading1"/>
      </w:pPr>
      <w:r>
        <w:t>Sample — 67 cities at a glance</w:t>
      </w:r>
    </w:p>
    <w:p>
      <w:r>
        <w:rPr>
          <w:b w:val="0"/>
          <w:i w:val="0"/>
        </w:rPr>
        <w:t>One row per FUA (sorted by population). Emergency means are in multiples of g(15 min); HH50 is the compounding population share at the median split; grade is the emergency-coverage severity ordering of H4 (covered → partial desert → desert; the covered/partial boundary is fuzzy).</w:t>
      </w:r>
    </w:p>
    <w:p>
      <w:pPr>
        <w:spacing w:after="40"/>
      </w:pPr>
      <w:r>
        <w:rPr>
          <w:b/>
          <w:i w:val="0"/>
          <w:sz w:val="18"/>
        </w:rPr>
        <w:t>Table S1 — city descriptives (cities_descriptives.csv)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c>
          <w:tcPr>
            <w:tcW w:type="dxa" w:w="803"/>
            <w:shd w:val="clear" w:fill="DCE6F1"/>
          </w:tcPr>
          <w:p>
            <w:pPr>
              <w:spacing w:after="0"/>
            </w:pPr>
            <w:r>
              <w:rPr>
                <w:sz w:val="14"/>
              </w:rPr>
              <w:t>City</w:t>
            </w:r>
          </w:p>
        </w:tc>
        <w:tc>
          <w:tcPr>
            <w:tcW w:type="dxa" w:w="803"/>
            <w:shd w:val="clear" w:fill="DCE6F1"/>
          </w:tcPr>
          <w:p>
            <w:pPr>
              <w:spacing w:after="0"/>
            </w:pPr>
            <w:r>
              <w:rPr>
                <w:sz w:val="14"/>
              </w:rPr>
              <w:t>CC</w:t>
            </w:r>
          </w:p>
        </w:tc>
        <w:tc>
          <w:tcPr>
            <w:tcW w:type="dxa" w:w="803"/>
            <w:shd w:val="clear" w:fill="DCE6F1"/>
          </w:tcPr>
          <w:p>
            <w:pPr>
              <w:spacing w:after="0"/>
            </w:pPr>
            <w:r>
              <w:rPr>
                <w:sz w:val="14"/>
              </w:rPr>
              <w:t>Region</w:t>
            </w:r>
          </w:p>
        </w:tc>
        <w:tc>
          <w:tcPr>
            <w:tcW w:type="dxa" w:w="803"/>
            <w:shd w:val="clear" w:fill="DCE6F1"/>
          </w:tcPr>
          <w:p>
            <w:pPr>
              <w:spacing w:after="0"/>
            </w:pPr>
            <w:r>
              <w:rPr>
                <w:sz w:val="14"/>
              </w:rPr>
              <w:t>Population</w:t>
            </w:r>
          </w:p>
        </w:tc>
        <w:tc>
          <w:tcPr>
            <w:tcW w:type="dxa" w:w="803"/>
            <w:shd w:val="clear" w:fill="DCE6F1"/>
          </w:tcPr>
          <w:p>
            <w:pPr>
              <w:spacing w:after="0"/>
            </w:pPr>
            <w:r>
              <w:rPr>
                <w:sz w:val="14"/>
              </w:rPr>
              <w:t>EMS srv</w:t>
            </w:r>
          </w:p>
        </w:tc>
        <w:tc>
          <w:tcPr>
            <w:tcW w:type="dxa" w:w="803"/>
            <w:shd w:val="clear" w:fill="DCE6F1"/>
          </w:tcPr>
          <w:p>
            <w:pPr>
              <w:spacing w:after="0"/>
            </w:pPr>
            <w:r>
              <w:rPr>
                <w:sz w:val="14"/>
              </w:rPr>
              <w:t>Grade</w:t>
            </w:r>
          </w:p>
        </w:tc>
        <w:tc>
          <w:tcPr>
            <w:tcW w:type="dxa" w:w="803"/>
            <w:shd w:val="clear" w:fill="DCE6F1"/>
          </w:tcPr>
          <w:p>
            <w:pPr>
              <w:spacing w:after="0"/>
            </w:pPr>
            <w:r>
              <w:rPr>
                <w:sz w:val="14"/>
              </w:rPr>
              <w:t>mean ev</w:t>
            </w:r>
          </w:p>
        </w:tc>
        <w:tc>
          <w:tcPr>
            <w:tcW w:type="dxa" w:w="803"/>
            <w:shd w:val="clear" w:fill="DCE6F1"/>
          </w:tcPr>
          <w:p>
            <w:pPr>
              <w:spacing w:after="0"/>
            </w:pPr>
            <w:r>
              <w:rPr>
                <w:sz w:val="14"/>
              </w:rPr>
              <w:t>mean em</w:t>
            </w:r>
          </w:p>
        </w:tc>
        <w:tc>
          <w:tcPr>
            <w:tcW w:type="dxa" w:w="803"/>
            <w:shd w:val="clear" w:fill="DCE6F1"/>
          </w:tcPr>
          <w:p>
            <w:pPr>
              <w:spacing w:after="0"/>
            </w:pPr>
            <w:r>
              <w:rPr>
                <w:sz w:val="14"/>
              </w:rPr>
              <w:t>Gini ev</w:t>
            </w:r>
          </w:p>
        </w:tc>
        <w:tc>
          <w:tcPr>
            <w:tcW w:type="dxa" w:w="803"/>
            <w:shd w:val="clear" w:fill="DCE6F1"/>
          </w:tcPr>
          <w:p>
            <w:pPr>
              <w:spacing w:after="0"/>
            </w:pPr>
            <w:r>
              <w:rPr>
                <w:sz w:val="14"/>
              </w:rPr>
              <w:t>Gini em</w:t>
            </w:r>
          </w:p>
        </w:tc>
        <w:tc>
          <w:tcPr>
            <w:tcW w:type="dxa" w:w="803"/>
            <w:shd w:val="clear" w:fill="DCE6F1"/>
          </w:tcPr>
          <w:p>
            <w:pPr>
              <w:spacing w:after="0"/>
            </w:pPr>
            <w:r>
              <w:rPr>
                <w:sz w:val="14"/>
              </w:rPr>
              <w:t>ρ</w:t>
            </w:r>
          </w:p>
        </w:tc>
        <w:tc>
          <w:tcPr>
            <w:tcW w:type="dxa" w:w="803"/>
            <w:shd w:val="clear" w:fill="DCE6F1"/>
          </w:tcPr>
          <w:p>
            <w:pPr>
              <w:spacing w:after="0"/>
            </w:pPr>
            <w:r>
              <w:rPr>
                <w:sz w:val="14"/>
              </w:rPr>
              <w:t>HH50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Paris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FR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West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12,886,280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0.135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0.73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0.625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0.497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0.33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Madrid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ES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South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7,601,394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0.191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0.533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0.439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0.32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Barcelona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ES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South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5,945,709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0.175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0.84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0.545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0.418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0.31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Milano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IT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South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5,030,024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0.183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0.400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0.400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0.32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Berlin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DE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West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4,875,655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0.158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0.558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0.438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0.32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Roma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IT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South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4,432,845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0.287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1.14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0.424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0.503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0.34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Athina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EL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South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3,522,264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0.103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0.73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0.609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0.500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0.27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Bruxelles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BE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West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3,521,497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0.182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1.29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0.583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0.286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0.33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Napoli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IT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South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3,457,649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0.326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0.83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0.305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0.384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0.15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0.27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Warszawa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3,334,987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partial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0.225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1.99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0.589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0.590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0.35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Hamburg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DE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West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3,162,607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0.260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0.543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0.437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0.32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București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RO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3,140,502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desert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0.335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3.21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0.524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0.774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0.73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0.42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Lisboa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South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3,132,904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0.239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1.19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0.367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0.409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0.32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München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DE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West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3,054,507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0.178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0.616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0.449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0.30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Budapest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HU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3,030,949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0.183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1.05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0.538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0.507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0.33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Amsterdam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West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2,829,893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0.227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0.75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0.501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0.326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0.29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Stockholm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North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2,549,795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partial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0.267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1.73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0.460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0.513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0.39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Köln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DE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West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2,438,338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0.204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0.520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0.398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0.31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Praha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CZ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2,247,160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0.282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1.11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0.515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0.475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0.35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København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DK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North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2,180,998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0.254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0.94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0.401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0.401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0.31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Sofia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BG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1,647,936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partial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0.285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1.44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0.511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0.600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0.73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0.41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Helsinki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FI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North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1,642,879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0.379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1.36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0.341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0.426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0.27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Oslo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North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1,550,450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partial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0.209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2.06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0.553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0.467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0.30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Porto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South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1,531,690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0.324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0.85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0.272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0.395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0.32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Kraków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1,350,286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0.308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1.50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0.523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0.519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0.40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Katowice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1,341,890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0.168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1.02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0.489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0.279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0.10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0.27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Zagreb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HR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1,293,698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partial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0.343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2.07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0.499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0.583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0.70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0.40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Antwerpen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BE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West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1,219,366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0.289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0.77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0.523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0.406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0.31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Rīga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LV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1,110,303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desert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0.362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3.37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0.502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0.682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0.37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Bilbao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ES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South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1,053,444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0.160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1.06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0.570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0.433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0.32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Łódź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1,045,886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0.255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1.60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0.534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0.491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0.31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Göteborg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North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1,042,720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partial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0.427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2.44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0.335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0.446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0.30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Vilnius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LT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1,010,376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desert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0.462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5.39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0.411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0.739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0.36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Palermo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IT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South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1,006,055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partial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0.317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3.64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0.383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0.292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0.29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Alicante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ES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South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996,867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0.311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1.80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0.530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0.277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0.15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0.27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Wrocław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939,076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0.199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1.47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0.609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0.362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0.34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Bratislava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SK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931,613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0.296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1.78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0.522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0.430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0.34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Ljubljana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SI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919,303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desert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0.447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4.96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0.387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0.481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0.34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Palma de Mallorca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ES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South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818,202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0.251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1.39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0.503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0.453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0.14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0.29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Brno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CZ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745,397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0.286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1.14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0.561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0.457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0.37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Tallinn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731,883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desert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0.349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2.80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0.456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0.713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0.33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Grenoble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FR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West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688,170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0.211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1.11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0.583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0.444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0.38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Luxembourg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LU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West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595,677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partial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0.312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1.64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0.469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0.407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0.30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Toulon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FR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West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540,279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0.315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0.91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0.431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0.458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0.33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Aarhus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DK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North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525,545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0.336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1.81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0.394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0.438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0.31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Chemnitz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DE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West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481,607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0.223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0.558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0.363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0.32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Turku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FI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North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353,992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partial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0.409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1.63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0.385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0.565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0.36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Stavanger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North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331,780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partial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0.252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2.10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0.498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0.492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0.30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Aalborg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DK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North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309,890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partial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0.405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1.87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0.419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0.541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0.34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Caserta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IT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South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298,402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0.283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1.33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0.298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0.228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0.18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0.27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Vicenza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IT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South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280,054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0.275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1.08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0.391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0.411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0.34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Helsingborg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North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253,346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0.420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0.90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0.284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0.387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0.37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Jaén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ES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South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249,477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0.291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1.24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0.543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0.385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-0.02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0.23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Szeged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HU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246,224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0.281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0.82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0.533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0.568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0.39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Apeldoorn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West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242,638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0.326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1.02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0.439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0.341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0.33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Cosenza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IT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South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239,305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0.505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1.23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0.407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0.500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0.70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0.39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Brăila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RO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235,919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partial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0.422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1.29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0.434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0.692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0.36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Amersfoort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West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234,650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0.219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0.458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0.350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0.28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Žilina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SK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217,546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0.431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1.46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0.424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0.443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0.36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Västerås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North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193,510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0.454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1.13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0.327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0.478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0.39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Norrköping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North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193,317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partial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0.445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1.88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0.423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0.560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0.35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Lahti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FI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North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191,532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0.495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2.14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0.353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0.444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0.35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Landshut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DE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West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168,617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0.364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0.492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0.438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0.36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Sittard-Geleen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NL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West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165,544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0.440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0.83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0.316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0.273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0.29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Arezzo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IT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South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146,788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0.381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1.02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0.412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0.446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0.34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Łomża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CEE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117,255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partial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0.484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1.01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0.417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0.621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0.74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0.43</w:t>
            </w:r>
          </w:p>
        </w:tc>
      </w:tr>
      <w:tr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Talavera de la Reina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ES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South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101,050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covered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0.378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0.89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0.522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0.454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0.66</w:t>
            </w:r>
          </w:p>
        </w:tc>
        <w:tc>
          <w:tcPr>
            <w:tcW w:type="dxa" w:w="803"/>
          </w:tcPr>
          <w:p>
            <w:pPr>
              <w:spacing w:after="0"/>
            </w:pPr>
            <w:r>
              <w:rPr>
                <w:sz w:val="14"/>
              </w:rPr>
              <w:t>0.41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spacing w:after="160"/>
      </w:pPr>
      <w:r>
        <w:rPr>
          <w:b w:val="0"/>
          <w:i/>
          <w:color w:val="595959"/>
          <w:sz w:val="17"/>
        </w:rPr>
        <w:t>EMS srv = number of emergency service types present (8 cities have a single one — their emergency composite rests on one facility layer; limitation noted in methods §3).</w:t>
      </w:r>
    </w:p>
    <w:p>
      <w:r>
        <w:br w:type="page"/>
      </w:r>
    </w:p>
    <w:p>
      <w:pPr>
        <w:pStyle w:val="Heading1"/>
      </w:pPr>
      <w:r>
        <w:t>H1 — City size buys everyday access, but not emergency care</w:t>
      </w:r>
    </w:p>
    <w:p>
      <w:r>
        <w:rPr>
          <w:b w:val="0"/>
          <w:i w:val="0"/>
        </w:rPr>
        <w:t>Mean everyday deprivation falls ~19 % per e-fold of population; mean emergency deprivation shows no detectable size gradient, and the TOST bounds it within ±0.13 (equivalence at ±0.10 not shown — say “no detectable scaling, bounded within ±0.13”, never “proven flat”). The difference between the two slopes is itself significant.</w:t>
      </w:r>
    </w:p>
    <w:p>
      <w:pPr>
        <w:spacing w:after="40"/>
      </w:pPr>
      <w:r>
        <w:rPr>
          <w:b/>
          <w:i w:val="0"/>
          <w:sz w:val="18"/>
        </w:rPr>
        <w:t>Table H1a — size elasticities, country-clustered (inference_scaling_clustered.csv)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Outcome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Elasticity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SE (country)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p (clustered)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p (wild bootstrap)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n cities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n countries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mean_everyday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-0.196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0.023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7.5e-18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0.0002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mean_emergency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-0.059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0.043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0.163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0.208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gini_everyday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0.062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0.019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0.0009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gini_emergency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0.004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0.018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0.822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0.839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spacing w:after="40"/>
      </w:pPr>
      <w:r>
        <w:rPr>
          <w:b/>
          <w:i w:val="0"/>
          <w:sz w:val="18"/>
        </w:rPr>
        <w:t>Table H1b — paired regime slope difference (inference_regime_paired.csv)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Measure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Everyday gradient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Emergency − everyday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SE (country)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p (wild bootstrap)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mean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-0.196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0.137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0.043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gini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0.062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-0.058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0.026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0.029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spacing w:after="40"/>
      </w:pPr>
      <w:r>
        <w:rPr>
          <w:b/>
          <w:i w:val="0"/>
          <w:sz w:val="18"/>
        </w:rPr>
        <w:t>Table H1c — equivalence test (inference_equivalence.csv)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Outcome</w:t>
            </w:r>
          </w:p>
        </w:tc>
        <w:tc>
          <w:tcPr>
            <w:tcW w:type="dxa" w:w="1606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Elasticity</w:t>
            </w:r>
          </w:p>
        </w:tc>
        <w:tc>
          <w:tcPr>
            <w:tcW w:type="dxa" w:w="1606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TOST bound</w:t>
            </w:r>
          </w:p>
        </w:tc>
        <w:tc>
          <w:tcPr>
            <w:tcW w:type="dxa" w:w="1606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p (TOST)</w:t>
            </w:r>
          </w:p>
        </w:tc>
        <w:tc>
          <w:tcPr>
            <w:tcW w:type="dxa" w:w="1606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Smallest passing bound</w:t>
            </w:r>
          </w:p>
        </w:tc>
        <w:tc>
          <w:tcPr>
            <w:tcW w:type="dxa" w:w="1606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Conclusion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sz w:val="16"/>
              </w:rPr>
              <w:t>mean_emergency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6"/>
              </w:rPr>
              <w:t>-0.059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6"/>
              </w:rPr>
              <w:t>0.1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6"/>
              </w:rPr>
              <w:t>0.175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6"/>
              </w:rPr>
              <w:t>0.132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6"/>
              </w:rPr>
              <w:t>equivalence not shown at this bound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spacing w:after="40"/>
      </w:pPr>
      <w:r>
        <w:rPr>
          <w:b/>
          <w:i w:val="0"/>
          <w:sz w:val="18"/>
        </w:rPr>
        <w:t>Table H1d — influence and robustness (inference_influence.csv)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Outcome</w:t>
            </w:r>
          </w:p>
        </w:tc>
        <w:tc>
          <w:tcPr>
            <w:tcW w:type="dxa" w:w="1205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Elasticity</w:t>
            </w:r>
          </w:p>
        </w:tc>
        <w:tc>
          <w:tcPr>
            <w:tcW w:type="dxa" w:w="1205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LOO envelope</w:t>
            </w:r>
          </w:p>
        </w:tc>
        <w:tc>
          <w:tcPr>
            <w:tcW w:type="dxa" w:w="1205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Worst-case city</w:t>
            </w:r>
          </w:p>
        </w:tc>
        <w:tc>
          <w:tcPr>
            <w:tcW w:type="dxa" w:w="1205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Huber</w:t>
            </w:r>
          </w:p>
        </w:tc>
        <w:tc>
          <w:tcPr>
            <w:tcW w:type="dxa" w:w="1205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Median reg.</w:t>
            </w:r>
          </w:p>
        </w:tc>
        <w:tc>
          <w:tcPr>
            <w:tcW w:type="dxa" w:w="1205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Excl. deserts</w:t>
            </w:r>
          </w:p>
        </w:tc>
        <w:tc>
          <w:tcPr>
            <w:tcW w:type="dxa" w:w="1205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p excl.</w:t>
            </w:r>
          </w:p>
        </w:tc>
      </w:tr>
      <w:tr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mean_everyday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-0.196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-0.204 … -0.185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athina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-0.196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-0.223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-0.203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2.8e-18</w:t>
            </w:r>
          </w:p>
        </w:tc>
      </w:tr>
      <w:tr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mean_emergency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-0.059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-0.074 … -0.045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bucuresti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-0.068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-0.051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-0.077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0.035</w:t>
            </w:r>
          </w:p>
        </w:tc>
      </w:tr>
      <w:tr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gini_everyday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0.062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0.056 … 0.070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0.066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0.081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0.061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851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ling_elastic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8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7"/>
        </w:rPr>
        <w:t>Figure H1 — scaling_elasticity.png: log-log size gradients by regime.</w:t>
      </w:r>
    </w:p>
    <w:p>
      <w:r>
        <w:br w:type="page"/>
      </w:r>
    </w:p>
    <w:p>
      <w:pPr>
        <w:pStyle w:val="Heading1"/>
      </w:pPr>
      <w:r>
        <w:t>H2 — Everyday inequality grows with size; emergency inequality does not</w:t>
      </w:r>
    </w:p>
    <w:p>
      <w:r>
        <w:rPr>
          <w:b w:val="0"/>
          <w:i w:val="0"/>
        </w:rPr>
        <w:t>The everyday-deprivation Gini rises with population under all 14 deprivation parameterisations; the emergency Gini is size-flat at baseline. The emergency half is conditional on beyond-benchmark escalation and must always be reported as such: the EMS benchmarks define the cost scale up to the 15-minute cut-off and all three literature-grounded escalation forms coincide at the 4/8/15-minute anchors; beyond the cut-off no benchmark exists, and that is exactly where the forms diverge.</w:t>
      </w:r>
    </w:p>
    <w:p>
      <w:pPr>
        <w:pStyle w:val="ListBullet"/>
      </w:pPr>
      <w:r>
        <w:t>Everyday Gini slope across all 14 parameterisations: +0.026 to +0.075, significant in 13/14 (the exception is the concave Box-Cox everyday form swap — a caveat to state).</w:t>
      </w:r>
    </w:p>
    <w:p>
      <w:pPr>
        <w:pStyle w:val="ListBullet"/>
      </w:pPr>
      <w:r>
        <w:t>Saturating escalation — the bounded survival-based curve (1 = full deprivation; saturation at ~30–45 min emerging from the benchmark anchors): emergency Gini size-flat — the “1 = full deprivation” framing gives the same headline as the baseline.</w:t>
      </w:r>
    </w:p>
    <w:p>
      <w:pPr>
        <w:pStyle w:val="ListBullet"/>
      </w:pPr>
      <w:r>
        <w:t>Polynomial (Box-Cox) beyond-cut-off escalation — the Cantillo/Delgado-Lindeman ambulance-DCF line: emergency Gini size-flat, in agreement with the deprivation-free travel-time Gini (a benchmark-free anchor).</w:t>
      </w:r>
    </w:p>
    <w:p>
      <w:pPr>
        <w:pStyle w:val="ListBullet"/>
      </w:pPr>
      <w:r>
        <w:t>Exponential escalation — the Holguín-Veras line: emergency Gini rising with size. Verified mechanism: beyond-cut-off tail shares are size-flat, but exponential pricing makes the Gini track extreme-tail depth — it saturates near its ceiling (median 0.96) and decouples from the travel-time Gini (ρ = 0.04).</w:t>
      </w:r>
    </w:p>
    <w:p>
      <w:pPr>
        <w:pStyle w:val="ListBullet"/>
      </w:pPr>
      <w:r>
        <w:t>Safe unconditional statements: everyday inequality rises under everything; emergency inequality never falls with size; flat vs rising is decided by the escalation form, which no benchmark pins down.</w:t>
      </w:r>
    </w:p>
    <w:p>
      <w:pPr>
        <w:spacing w:after="40"/>
      </w:pPr>
      <w:r>
        <w:rPr>
          <w:b/>
          <w:i w:val="0"/>
          <w:sz w:val="18"/>
        </w:rPr>
        <w:t>Table H2a — the conditional emergency-Gini result (specification_curve.csv)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Beyond-cut-off escalation form</w:t>
            </w:r>
          </w:p>
        </w:tc>
        <w:tc>
          <w:tcPr>
            <w:tcW w:type="dxa" w:w="2409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Emergency-Gini elasticity</w:t>
            </w:r>
          </w:p>
        </w:tc>
        <w:tc>
          <w:tcPr>
            <w:tcW w:type="dxa" w:w="2409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SE</w:t>
            </w:r>
          </w:p>
        </w:tc>
        <w:tc>
          <w:tcPr>
            <w:tcW w:type="dxa" w:w="2409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p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Box-Cox λ 1.8 (baseline)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0.004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0.018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0.822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Box-Cox λ 1.4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-0.006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0.018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0.735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Box-Cox λ 2.2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0.014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0.017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0.404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Exponential (Holguín-Veras line)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0.098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0.027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0.0003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Saturating (survival-based, bounded, 1 = full)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0.022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6"/>
              </w:rPr>
              <w:t>0.969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spacing w:after="40"/>
      </w:pPr>
      <w:r>
        <w:rPr>
          <w:b/>
          <w:i w:val="0"/>
          <w:sz w:val="18"/>
        </w:rPr>
        <w:t>Table H2b — deprivation Gini vs deprivation-free travel-time Gini (deprivation_vs_access.csv)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Regime</w:t>
            </w:r>
          </w:p>
        </w:tc>
        <w:tc>
          <w:tcPr>
            <w:tcW w:type="dxa" w:w="3213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Pearson r (dep-Gini vs time-Gini)</w:t>
            </w:r>
          </w:p>
        </w:tc>
        <w:tc>
          <w:tcPr>
            <w:tcW w:type="dxa" w:w="3213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Spearman ρ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6"/>
              </w:rPr>
              <w:t>everyday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6"/>
              </w:rPr>
              <w:t>0.965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6"/>
              </w:rPr>
              <w:t>0.970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6"/>
              </w:rPr>
              <w:t>emergency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6"/>
              </w:rPr>
              <w:t>0.976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6"/>
              </w:rPr>
              <w:t>0.948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338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rivation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38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7"/>
        </w:rPr>
        <w:t>Figure H2 — deprivation_curves.png: everyday level curve; the emergency benchmark window (0–15 min), where all three escalation forms coincide at the EMS anchors by construction; and the beyond-cut-off region (log scale), where they diverge — saturating 1.6× / Box-Cox 11× / exponential 120× the benchmark cost at 60 min. The dotted line is the linear loss a pure-access minutes average implies.</w:t>
      </w:r>
    </w:p>
    <w:p>
      <w:r>
        <w:br w:type="page"/>
      </w:r>
    </w:p>
    <w:p>
      <w:pPr>
        <w:pStyle w:val="Heading1"/>
      </w:pPr>
      <w:r>
        <w:t>H3 — The divergence has a geography, and it is country-level</w:t>
      </w:r>
    </w:p>
    <w:p>
      <w:r>
        <w:rPr>
          <w:b w:val="0"/>
          <w:i w:val="0"/>
        </w:rPr>
        <w:t>Regional contrasts tested with the honest unit: whole countries permuted across macro-regions (cities nest in countries). CEE compounds — highest emergency inequality and strongest everyday–emergency coupling; the West's inequality is everyday-side, the North's emergency-side. The everyday Gini's apparent regional contrast does not survive country-level testing — do not claim it.</w:t>
      </w:r>
    </w:p>
    <w:p>
      <w:pPr>
        <w:spacing w:after="40"/>
      </w:pPr>
      <w:r>
        <w:rPr>
          <w:b/>
          <w:i w:val="0"/>
          <w:sz w:val="18"/>
        </w:rPr>
        <w:t>Table H3 — regional contrasts (inference_regional.csv); the country permutation is the primary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Outcome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Cohen f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p city-ANOVA (anti-conservative)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p permutation (countries)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p mixed model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spearman_rho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0.51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gini_everyday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0.56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0.0007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0.274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0.079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gini_emergency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0.74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4.4e-06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1.1e-05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divergence_gap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0.68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2.1e-05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0.010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0.0006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compounding_pop_share_50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0.53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0.0008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0.005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compounding_intensity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0.51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0.0009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658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stri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5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7"/>
        </w:rPr>
        <w:t>Figure H3 — region_strips.png: per-region strips of the key indicators.</w:t>
      </w:r>
    </w:p>
    <w:p>
      <w:r>
        <w:br w:type="page"/>
      </w:r>
    </w:p>
    <w:p>
      <w:pPr>
        <w:pStyle w:val="Heading1"/>
      </w:pPr>
      <w:r>
        <w:t>H4 — No city types; regional gradients plus one desert group</w:t>
      </w:r>
    </w:p>
    <w:p>
      <w:r>
        <w:rPr>
          <w:b w:val="0"/>
          <w:i w:val="0"/>
        </w:rPr>
        <w:t>k-means cuts 62-vs-5: the emergency-desert capitals (bucuresti, ljubljana, riga, tallinn, vilnius). Real split, but an outlier group, not a typology (no agreement with the region partition); Ward nests inside it — a severity ordering, not two algorithms agreeing on one group. The peeled re-clustering (outliers removed, everything recomputed) finds one further split along the same axis at lower intensity: 14 partial-desert cities. The citable reading: the only recoverable discrete structure is a severity ordering on one axis — emergency-periphery coverage (covered → partial desert → desert) — a gradient made visible, not city types; the covered/partial boundary is explicitly fuzzy.</w:t>
      </w:r>
    </w:p>
    <w:p>
      <w:pPr>
        <w:spacing w:after="40"/>
      </w:pPr>
      <w:r>
        <w:rPr>
          <w:b/>
          <w:i w:val="0"/>
          <w:sz w:val="18"/>
        </w:rPr>
        <w:t>Table H4a — clustering diagnostics (cluster_null.csv, cluster_null_peeled.csv)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k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Silhouette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Bootstrap ARI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Gaussian-null p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Small group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Main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0.65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0.87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5 deserts: bucuresti, ljubljana, riga, tallinn, vilnius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Peeled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62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0.38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0.74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14 partial deserts: aalborg, braila, goteborg, lomza, luxembourg, norrkoping, oslo, palermo, sofia, stavanger, stockholm, turku, warszawa, zagreb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spacing w:after="40"/>
      </w:pPr>
      <w:r>
        <w:rPr>
          <w:b/>
          <w:i w:val="0"/>
          <w:sz w:val="18"/>
        </w:rPr>
        <w:t>Table H4b — feature-set robustness: full pipeline re-run with the 8/15-min benchmark shares included (cluster_feature_robustness.csv)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Feature set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n features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ARI vs published (main)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Same 5 capitals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ARI vs published (peeled)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extended (+emergency 8/15-min shares)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1.00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0.97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spacing w:after="160"/>
      </w:pPr>
      <w:r>
        <w:rPr>
          <w:b w:val="0"/>
          <w:i/>
          <w:color w:val="595959"/>
          <w:sz w:val="17"/>
        </w:rPr>
        <w:t>The extended feature set flags Brăila+Łomża as their own micro-group — converging evidence that they sit on the covered/partial boundary rather than in any type; the same two cities moved across that boundary between extraction states (50/12 → 48/14). Ordering robust, boundary fuzzy.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169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pla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1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7"/>
        </w:rPr>
        <w:t>Figure H4 — cityplane.png: the 67 cities in the everyday-vs-emergency inequality plane, coloured by macro-region; the emergency-desert group is circled and the grey whiskers are the deprivation-curvature envelopes.</w:t>
      </w:r>
    </w:p>
    <w:p>
      <w:r>
        <w:br w:type="page"/>
      </w:r>
    </w:p>
    <w:p>
      <w:pPr>
        <w:pStyle w:val="Heading1"/>
      </w:pPr>
      <w:r>
        <w:t>H5 — Who carries it: children, almost everywhere</w:t>
      </w:r>
    </w:p>
    <w:p>
      <w:r>
        <w:rPr>
          <w:b w:val="0"/>
          <w:i w:val="0"/>
        </w:rPr>
        <w:t>Census-harmonised strata pooled across all 67 cities against the covered-cell reference. Children live in more-deprived and higher-compounding cells in ~88 % of cities; the elderly do not compound at the harmonised European level (below parity across most of CEE) — sharper Tier-2 national results (e.g. Hamburg) use different definitions and are reported per city, never pooled.</w:t>
      </w:r>
    </w:p>
    <w:p>
      <w:pPr>
        <w:spacing w:after="40"/>
      </w:pPr>
      <w:r>
        <w:rPr>
          <w:b/>
          <w:i w:val="0"/>
          <w:sz w:val="18"/>
        </w:rPr>
        <w:t>Table H5 — pooled stratum ratios, covered-cell reference (vulnerability_summary.csv)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Stratum</w:t>
            </w:r>
          </w:p>
        </w:tc>
        <w:tc>
          <w:tcPr>
            <w:tcW w:type="dxa" w:w="1205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type="dxa" w:w="1205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Median everyday ratio</w:t>
            </w:r>
          </w:p>
        </w:tc>
        <w:tc>
          <w:tcPr>
            <w:tcW w:type="dxa" w:w="1205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&gt; parity</w:t>
            </w:r>
          </w:p>
        </w:tc>
        <w:tc>
          <w:tcPr>
            <w:tcW w:type="dxa" w:w="1205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Median emergency ratio</w:t>
            </w:r>
          </w:p>
        </w:tc>
        <w:tc>
          <w:tcPr>
            <w:tcW w:type="dxa" w:w="1205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&gt; parity</w:t>
            </w:r>
          </w:p>
        </w:tc>
        <w:tc>
          <w:tcPr>
            <w:tcW w:type="dxa" w:w="1205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Median HH gap</w:t>
            </w:r>
          </w:p>
        </w:tc>
        <w:tc>
          <w:tcPr>
            <w:tcW w:type="dxa" w:w="1205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&gt; parity</w:t>
            </w:r>
          </w:p>
        </w:tc>
      </w:tr>
      <w:tr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children_census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1.27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88 %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1.15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75 %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0.134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88 %</w:t>
            </w:r>
          </w:p>
        </w:tc>
      </w:tr>
      <w:tr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elderly_census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0.96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37 %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1.11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60 %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-0.032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6"/>
              </w:rPr>
              <w:t>42 %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8907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ulnerability_str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90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7"/>
        </w:rPr>
        <w:t>Figure H5 — vulnerability_strata.png: per-city stratum ratios.</w:t>
      </w:r>
    </w:p>
    <w:p>
      <w:r>
        <w:br w:type="page"/>
      </w:r>
    </w:p>
    <w:p>
      <w:pPr>
        <w:pStyle w:val="Heading1"/>
      </w:pPr>
      <w:r>
        <w:t>H6 — Compounding is the norm, not the exception</w:t>
      </w:r>
    </w:p>
    <w:p>
      <w:r>
        <w:rPr>
          <w:b w:val="0"/>
          <w:i w:val="0"/>
        </w:rPr>
        <w:t>The HH share at the median split averages 33 % against the 25 % independence benchmark and exceeds it in 66 of 67 cities; coupling ρ spans -0.02 to 0.74. The class shares barely notice the deprivation function: median per-city envelope width 1.4 pp under the curvature grid and 0.9 pp under the form swap, against 29.8 pp for the “how high is high” threshold — which is exactly why the continuous compounding_intensity is the headline and the class shares carry a threshold sweep.</w:t>
      </w:r>
    </w:p>
    <w:p>
      <w:pPr>
        <w:spacing w:after="40"/>
      </w:pPr>
      <w:r>
        <w:rPr>
          <w:b/>
          <w:i w:val="0"/>
          <w:sz w:val="18"/>
        </w:rPr>
        <w:t>Table H6 — what moves the compounding classes (deprivation_sensitivity_summary.csv)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Sensitivity axis</w:t>
            </w:r>
          </w:p>
        </w:tc>
        <w:tc>
          <w:tcPr>
            <w:tcW w:type="dxa" w:w="3213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Median per-city envelope width of the HH share</w:t>
            </w:r>
          </w:p>
        </w:tc>
        <w:tc>
          <w:tcPr>
            <w:tcW w:type="dxa" w:w="3213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Cities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6"/>
              </w:rPr>
              <w:t>Deprivation curvature grid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6"/>
              </w:rPr>
              <w:t>1.4 pp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6"/>
              </w:rPr>
              <w:t>Functional-form swap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6"/>
              </w:rPr>
              <w:t>0.9 pp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6"/>
              </w:rPr>
              <w:t>“How high is high” threshold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6"/>
              </w:rPr>
              <w:t>29.8 pp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81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unding_gall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8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7"/>
        </w:rPr>
        <w:t>Figure H6a — compounding_gallery.png: co-location typologies across the sample.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88994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o_rank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899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7"/>
        </w:rPr>
        <w:t>Figure H6b — rho_ranked.png: everyday–emergency coupling ρ, ranked.</w:t>
      </w:r>
    </w:p>
    <w:p>
      <w:pPr>
        <w:pStyle w:val="Heading1"/>
      </w:pPr>
      <w:r>
        <w:t>H7 — Deprivation is not access: the claims survive, the framing earns its keep</w:t>
      </w:r>
    </w:p>
    <w:p>
      <w:r>
        <w:rPr>
          <w:b w:val="0"/>
          <w:i w:val="0"/>
        </w:rPr>
        <w:t>Re-running the size regressions on plain minutes: the claims survive without any deprivation function; the deprivation outcome is better behaved (higher R² — the loss function discounts variation in the flat part of the curve that carries no welfare content); and the deserts are invisible to access averages — only the convex, clinically anchored DCF prices the tail that puts them there.</w:t>
      </w:r>
    </w:p>
    <w:p>
      <w:pPr>
        <w:spacing w:after="40"/>
      </w:pPr>
      <w:r>
        <w:rPr>
          <w:b/>
          <w:i w:val="0"/>
          <w:sz w:val="18"/>
        </w:rPr>
        <w:t>Table H7a — deprivation vs pure-access size elasticities (deprivation_vs_access.csv)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Regime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Kind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Outcome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Elasticity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SE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p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R²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everyday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deprivation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mean_everyday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-0.196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0.023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7.5e-18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0.44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everyday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access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everyday_median_time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-0.237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0.057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3.8e-05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0.16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everyday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access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everyday_mean_time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-0.178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0.030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4.4e-09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0.31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emergency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deprivation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mean_emergency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-0.059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0.043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0.163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emergency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access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emergency_median_time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-0.043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0.026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0.092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emergency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access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emergency_mean_time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-0.043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0.022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0.050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emergency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access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emergency_p90_time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-0.059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0.025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0.017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0.05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spacing w:after="40"/>
      </w:pPr>
      <w:r>
        <w:rPr>
          <w:b/>
          <w:i w:val="0"/>
          <w:sz w:val="18"/>
        </w:rPr>
        <w:t>Table H7b — the deserts are invisible to access medians (desert_access_contrast.csv)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City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CC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Median EMS min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vs sample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p90 EMS min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Mean emergency deprivation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vs sample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vilnius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LT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14.0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1.17×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54.5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5.39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4.72×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ljubljana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SI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23.0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1.92×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62.5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4.96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4.34×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riga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LV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13.5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1.12×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43.5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3.37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2.95×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bucuresti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RO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8.5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0.71×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46.5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3.21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2.81×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tallinn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EE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13.0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1.08×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31.5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2.80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6"/>
              </w:rPr>
              <w:t>2.45×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spacing w:after="40"/>
      </w:pPr>
      <w:r>
        <w:rPr>
          <w:b/>
          <w:i w:val="0"/>
          <w:sz w:val="18"/>
        </w:rPr>
        <w:t>Table H7c — size gradient within coverage grades (scaling_by_grade.csv)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Coverage grade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Within-grade elasticity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SE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p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covered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48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-0.085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0.038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0.031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partial desert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0.128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0.075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0.116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desert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-0.105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0.287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0.739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grade level shift (at mean size)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1.3e-15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interaction (slope x grade)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0.010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spacing w:after="160"/>
      </w:pPr>
      <w:r>
        <w:rPr>
          <w:b w:val="0"/>
          <w:i/>
          <w:color w:val="595959"/>
          <w:sz w:val="17"/>
        </w:rPr>
        <w:t>The grade LEVEL shift is the result (median mean-emergency deprivation 1.02 / 1.87 / 3.37 across covered / partial / desert; country-clustered Wald p ≈ 1e-15). The slope × grade interaction is boundary-sensitive (p = 0.010 under 48/14/5, p = 0.17 under the pre-refresh 50/12/5) — lead with “coverage class, not city size, sets emergency deprivation” and never headline a grade-specific size gradient.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767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ling_by_coverage_gra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76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7"/>
        </w:rPr>
        <w:t>Figure H7 — scaling_by_coverage_grade.png.</w:t>
      </w:r>
    </w:p>
    <w:p>
      <w:r>
        <w:br w:type="page"/>
      </w:r>
    </w:p>
    <w:p>
      <w:pPr>
        <w:pStyle w:val="Heading1"/>
      </w:pPr>
      <w:r>
        <w:t>Robustness inventory</w:t>
      </w:r>
    </w:p>
    <w:p>
      <w:r>
        <w:rPr>
          <w:b w:val="0"/>
          <w:i w:val="0"/>
        </w:rPr>
        <w:t>Everything the claims were pushed through, in one place: the specification curve (14 deprivation parameterisations), rank agreement of the city orderings, the per-city assumption footprint (flip cells), and the level envelopes.</w:t>
      </w:r>
    </w:p>
    <w:p>
      <w:pPr>
        <w:pStyle w:val="ListBullet"/>
      </w:pPr>
      <w:r>
        <w:t>Rank agreement: minimum Spearman ρ 0.92 over the curvature grid and 0.90 under the everyday form swap — the rank-based results are parameterisation-free in that scope.</w:t>
      </w:r>
    </w:p>
    <w:p>
      <w:pPr>
        <w:pStyle w:val="ListBullet"/>
      </w:pPr>
      <w:r>
        <w:t>Scoped exception (a change of measurand, not noise): under exponential escalation the emergency-Gini ordering becomes an extreme-tail-depth ordering (ρ = 0.19 vs baseline).</w:t>
      </w:r>
    </w:p>
    <w:p>
      <w:pPr>
        <w:pStyle w:val="ListBullet"/>
      </w:pPr>
      <w:r>
        <w:t>Scoped exception: under the bounded survival curve it becomes a benchmark-window inequality ordering (ρ = 0.49 vs baseline) — the tail beyond saturation no longer distinguishes cities.</w:t>
      </w:r>
    </w:p>
    <w:p>
      <w:pPr>
        <w:spacing w:after="40"/>
      </w:pPr>
      <w:r>
        <w:rPr>
          <w:b/>
          <w:i w:val="0"/>
          <w:sz w:val="18"/>
        </w:rPr>
        <w:t>Table R1 — flip cells: the spatial footprint of the deprivation assumption (flip_cells.csv); distinct from the ~24 % routing-engine flip (E.1)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Metric</w:t>
            </w:r>
          </w:p>
        </w:tc>
        <w:tc>
          <w:tcPr>
            <w:tcW w:type="dxa" w:w="4819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Population-weighted sensitive share, mean over 67 cities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18.1 %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Range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5.2 – 53.0 %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Complementary stable share (keeps its class under every deprivation parameterisation)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81.9 %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spacing w:after="40"/>
      </w:pPr>
      <w:r>
        <w:rPr>
          <w:b/>
          <w:i w:val="0"/>
          <w:sz w:val="18"/>
        </w:rPr>
        <w:t>Table R2 — level envelopes: the Gini LEVELS move a great deal under the same sweep (the calibration carries information); the slope claims are defended by the whole specification curve, not by any one parameterisation (deprivation_sensitivity_summary.csv)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Axis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Target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Median envelope width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Range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>
              <w:rPr>
                <w:sz w:val="16"/>
              </w:rPr>
              <w:t>Cities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curvature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gini_everyday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0.244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0.087 – 0.377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curvature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gini_emergency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0.170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0.081 – 0.245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curvature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divergence_gap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0.245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0.129 – 0.377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form_swap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gini_everyday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0.035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0.001 – 0.147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form_swap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gini_emergency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0.649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0.046 – 0.858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form_swap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divergence_gap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0.649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0.096 – 0.858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343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fication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34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7"/>
        </w:rPr>
        <w:t>Figure R1 — specification_curve.png: the headline slopes under every deprivation parameterisation.</w:t>
      </w:r>
    </w:p>
    <w:p>
      <w:r>
        <w:br w:type="page"/>
      </w:r>
    </w:p>
    <w:p>
      <w:pPr>
        <w:pStyle w:val="Heading1"/>
      </w:pPr>
      <w:r>
        <w:t>Service-level accessibility (pooled)</w:t>
      </w:r>
    </w:p>
    <w:p>
      <w:r>
        <w:rPr>
          <w:b w:val="0"/>
          <w:i w:val="0"/>
        </w:rPr>
        <w:t>Deprivation-free per-service accessibility, pooled over cities (median [min–max] across cities). The 15-minute rows connect to the 15-minute-city literature; emergency rows carry the free-flow-driving caveat (methods §3).</w:t>
      </w:r>
    </w:p>
    <w:p>
      <w:pPr>
        <w:spacing w:after="40"/>
      </w:pPr>
      <w:r>
        <w:rPr>
          <w:b/>
          <w:i w:val="0"/>
          <w:sz w:val="18"/>
        </w:rPr>
        <w:t>Table S2 — per-service accessibility (accessibility_by_service_pooled.csv)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4"/>
              </w:rPr>
              <w:t>Regime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4"/>
              </w:rPr>
              <w:t>Service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4"/>
              </w:rPr>
              <w:t>n cities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4"/>
              </w:rPr>
              <w:t>Facilities med [range]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4"/>
              </w:rPr>
              <w:t>Median time med [range]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4"/>
              </w:rPr>
              <w:t>&gt; 15 min med [range]</w:t>
            </w:r>
          </w:p>
        </w:tc>
        <w:tc>
          <w:tcPr>
            <w:tcW w:type="dxa" w:w="1377"/>
            <w:shd w:val="clear" w:fill="DCE6F1"/>
          </w:tcPr>
          <w:p>
            <w:pPr>
              <w:spacing w:after="0"/>
            </w:pPr>
            <w:r>
              <w:rPr>
                <w:sz w:val="14"/>
              </w:rPr>
              <w:t>&gt; 30 min med [range]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emergency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ambulance_station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60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6 [1–124]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12 [6–37]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35 % [2–98]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4.5 % [0.0–76.4]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emergency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emergency_dept_hospital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66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6 [1–100]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12 [7–22]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36 % [6–81]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5.8 % [0.0–30.0]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everyday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gp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67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93 [2–2186]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8 [3–19]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50 % [12–96]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37.9 % [5.8–89.9]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everyday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green_space_district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67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636 [22–7487]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4 [0–9]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13 % [1–54]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11.5 % [0.7–39.4]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everyday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green_space_local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67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636 [22–7487]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4 [0–9]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13 % [1–54]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11.5 % [0.7–39.4]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everyday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pharmacy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67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228 [16–3479]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5 [0–12]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22 % [3–53]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17.6 % [2.7–42.2]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everyday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school_primary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67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409 [46–10710]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4 [1–8]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12 % [1–40]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9.6 % [0.7–37.8]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everyday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school_secondary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67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409 [46–10710]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4 [1–8]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12 % [1–40]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9.6 % [0.7–37.8]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everyday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supermarket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67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325 [33–2522]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5 [1–8]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17 % [3–40]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sz w:val="14"/>
              </w:rPr>
              <w:t>13.0 % [2.5–37.5]</w:t>
            </w:r>
          </w:p>
        </w:tc>
      </w:tr>
    </w:tbl>
    <w:p>
      <w:r>
        <w:rPr>
          <w:b w:val="0"/>
          <w:i w:val="0"/>
          <w:sz w:val="12"/>
        </w:rPr>
      </w:r>
    </w:p>
    <w:p>
      <w:r>
        <w:br w:type="page"/>
      </w:r>
    </w:p>
    <w:p>
      <w:pPr>
        <w:pStyle w:val="Heading1"/>
      </w:pPr>
      <w:r>
        <w:t>Exemplar city maps</w:t>
      </w:r>
    </w:p>
    <w:p>
      <w:r>
        <w:rPr>
          <w:b w:val="0"/>
          <w:i w:val="0"/>
        </w:rPr>
        <w:t>Four of the 67 per-city compounding maps (median-split co-location typology), one per coverage situation. The full gallery with a grade/HH/ρ index is in docs/paper-pack/figures/cities/ (README.md). Read these for spatial pattern, not per-cell class: ~24 % of population changes class between routing engines (E.1).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7040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mbur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70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7"/>
        </w:rPr>
        <w:t>Hamburg (DE) — covered, Tier-2 deep-dive city — figures/cities/hamburg.png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631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i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63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7"/>
        </w:rPr>
        <w:t>Paris (FR) — covered, largest FUA in the sample — figures/cities/paris.png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907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curest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90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7"/>
        </w:rPr>
        <w:t>București (RO) — emergency-desert capital — figures/cities/bucuresti.png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84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mz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17"/>
        </w:rPr>
        <w:t>Łomża (PL) — boundary city (covered ↔ partial desert) — figures/cities/lomza.png</w:t>
      </w:r>
    </w:p>
    <w:p>
      <w:pPr>
        <w:pStyle w:val="Heading1"/>
      </w:pPr>
      <w:r>
        <w:t>What is deliberately NOT claimed</w:t>
      </w:r>
    </w:p>
    <w:p>
      <w:pPr>
        <w:pStyle w:val="ListBullet"/>
      </w:pPr>
      <w:r>
        <w:t>Absolute travel times and Gini levels under the friction engine (E.1: levels understated 34–314 %; r5 is the primary engine).</w:t>
      </w:r>
    </w:p>
    <w:p>
      <w:pPr>
        <w:pStyle w:val="ListBullet"/>
      </w:pPr>
      <w:r>
        <w:t>Per-cell typology classes on any map (~24 % engine flip; maps are for spatial patterns).</w:t>
      </w:r>
    </w:p>
    <w:p>
      <w:pPr>
        <w:pStyle w:val="ListBullet"/>
      </w:pPr>
      <w:r>
        <w:t>A causal or longitudinal reading — every gradient is cross-sectional space-for-time.</w:t>
      </w:r>
    </w:p>
    <w:p>
      <w:pPr>
        <w:pStyle w:val="ListBullet"/>
      </w:pPr>
      <w:r>
        <w:t>An everyday-Gini regional contrast (H3) and elderly compounding at the European level (H5).</w:t>
      </w:r>
    </w:p>
    <w:p>
      <w:pPr>
        <w:pStyle w:val="ListBullet"/>
      </w:pPr>
      <w:r>
        <w:t>An unconditional emergency-Gini trend (H2) — always report the escalation-form conditionality; safe statements: “never falls with size”, “the everyday Gini rises under everything”.</w:t>
      </w:r>
    </w:p>
    <w:p>
      <w:pPr>
        <w:pStyle w:val="ListBullet"/>
      </w:pPr>
      <w:r>
        <w:t>Rank-agreement universality — under exponential escalation the emergency-Gini ranking is a different measurand (reported as such, with the saturation numbers).</w:t>
      </w:r>
    </w:p>
    <w:p>
      <w:pPr>
        <w:pStyle w:val="ListBullet"/>
      </w:pPr>
      <w:r>
        <w:t>Two clustering algorithms agreeing on one desert group (Ward nests inside k-means; corroboration of a severity ordering).</w:t>
      </w:r>
    </w:p>
    <w:p>
      <w:pPr>
        <w:pStyle w:val="Heading2"/>
      </w:pPr>
      <w:r>
        <w:t>Known limitations</w:t>
      </w:r>
    </w:p>
    <w:p>
      <w:pPr>
        <w:pStyle w:val="ListBullet"/>
      </w:pPr>
      <w:r>
        <w:t>GP-density artifact in the everyday composite for a few cities (OSM completeness; flagged in methods).</w:t>
      </w:r>
    </w:p>
    <w:p>
      <w:pPr>
        <w:pStyle w:val="ListBullet"/>
      </w:pPr>
      <w:r>
        <w:t>8 cities carry a single emergency service type — their emergency composite rests on one facility layer (Table S1).</w:t>
      </w:r>
    </w:p>
    <w:p>
      <w:pPr>
        <w:pStyle w:val="ListBullet"/>
      </w:pPr>
      <w:r>
        <w:t>Emergency routing uses free-flow car speeds — response times are optimistic; the EMS anchors are applied to the same scale on both sides so comparisons are internally consistent (methods §3).</w:t>
      </w:r>
    </w:p>
    <w:p>
      <w:pPr>
        <w:pStyle w:val="ListBullet"/>
      </w:pPr>
      <w:r>
        <w:t>DE registry facility counts flagged for re-verification before publication (E.2 note).</w:t>
      </w:r>
    </w:p>
    <w:p>
      <w:pPr>
        <w:pStyle w:val="ListBullet"/>
      </w:pPr>
      <w:r>
        <w:t>Every cross-city gradient is cross-sectional space-for-time; no longitudinal claim is made.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