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7D22E" w14:textId="31BD25EF" w:rsidR="005A07CB" w:rsidRPr="00CC4B50" w:rsidRDefault="00810D7B" w:rsidP="007D39E1">
      <w:pPr>
        <w:widowControl/>
        <w:spacing w:after="0" w:line="480" w:lineRule="auto"/>
        <w:rPr>
          <w:rFonts w:ascii="Arial" w:eastAsia="宋体" w:hAnsi="Arial" w:cs="Arial"/>
          <w:b/>
          <w:bCs/>
          <w:kern w:val="0"/>
          <w:sz w:val="20"/>
          <w:szCs w:val="20"/>
          <w14:ligatures w14:val="none"/>
        </w:rPr>
      </w:pPr>
      <w:r w:rsidRPr="00CC4B50">
        <w:rPr>
          <w:rStyle w:val="af"/>
          <w:rFonts w:ascii="Arial" w:hAnsi="Arial" w:cs="Arial"/>
          <w:color w:val="0F1115"/>
          <w:sz w:val="20"/>
          <w:szCs w:val="20"/>
        </w:rPr>
        <w:t>Supplementary Figure Legends</w:t>
      </w:r>
      <w:r w:rsidR="00006CCD">
        <w:rPr>
          <w:rStyle w:val="af"/>
          <w:rFonts w:ascii="Arial" w:hAnsi="Arial" w:cs="Arial"/>
          <w:color w:val="0F1115"/>
          <w:sz w:val="20"/>
          <w:szCs w:val="20"/>
        </w:rPr>
        <w:t>:</w:t>
      </w:r>
    </w:p>
    <w:p w14:paraId="01D63D6E" w14:textId="0763910F" w:rsidR="00110234" w:rsidRPr="00CC4B50" w:rsidRDefault="001D730E" w:rsidP="00DA41B6">
      <w:pPr>
        <w:widowControl/>
        <w:spacing w:after="0" w:line="240" w:lineRule="auto"/>
        <w:rPr>
          <w:rStyle w:val="af"/>
          <w:rFonts w:ascii="Arial" w:hAnsi="Arial" w:cs="Arial"/>
          <w:b w:val="0"/>
          <w:bCs w:val="0"/>
          <w:sz w:val="20"/>
          <w:szCs w:val="20"/>
        </w:rPr>
      </w:pPr>
      <w:r w:rsidRPr="00CC4B50">
        <w:rPr>
          <w:rStyle w:val="af"/>
          <w:rFonts w:ascii="Arial" w:hAnsi="Arial" w:cs="Arial"/>
          <w:sz w:val="20"/>
          <w:szCs w:val="20"/>
        </w:rPr>
        <w:t>Figure S1. Cα RMSF profiles during molecular dynamics simulations.</w:t>
      </w:r>
      <w:r w:rsidR="00023A5A" w:rsidRPr="00CC4B50">
        <w:rPr>
          <w:rFonts w:ascii="Arial" w:hAnsi="Arial" w:cs="Arial"/>
          <w:sz w:val="20"/>
          <w:szCs w:val="20"/>
        </w:rPr>
        <w:t xml:space="preserve"> </w:t>
      </w:r>
      <w:r w:rsidR="00F47418" w:rsidRPr="00CC4B50">
        <w:rPr>
          <w:rFonts w:ascii="Arial" w:hAnsi="Arial" w:cs="Arial"/>
          <w:sz w:val="20"/>
          <w:szCs w:val="20"/>
        </w:rPr>
        <w:t>Per-residue Cα</w:t>
      </w:r>
      <w:r w:rsidR="00DA41B6" w:rsidRPr="00CC4B50">
        <w:rPr>
          <w:rFonts w:ascii="Arial" w:hAnsi="Arial" w:cs="Arial"/>
          <w:sz w:val="20"/>
          <w:szCs w:val="20"/>
        </w:rPr>
        <w:t xml:space="preserve"> </w:t>
      </w:r>
      <w:r w:rsidR="00F47418" w:rsidRPr="00CC4B50">
        <w:rPr>
          <w:rFonts w:ascii="Arial" w:hAnsi="Arial" w:cs="Arial"/>
          <w:sz w:val="20"/>
          <w:szCs w:val="20"/>
        </w:rPr>
        <w:t xml:space="preserve">RMSF profiles for WT, D111A, T110A_D111A, and T60A_S63A over the equilibrated 20–200 ns period. Dashed vertical lines mark selected residues THR60, SER63, THR110, and ASP111. The dash-dotted vertical line separates the IgM-Fcμ-Cμ4 and FcμR-D1 regions. The profiles provide complete-complex RMSF analysis complementary to the FcµR-D1-focused analysis presented in Figure </w:t>
      </w:r>
      <w:r w:rsidR="00090D11" w:rsidRPr="00CC4B50">
        <w:rPr>
          <w:rFonts w:ascii="Arial" w:hAnsi="Arial" w:cs="Arial"/>
          <w:sz w:val="20"/>
          <w:szCs w:val="20"/>
        </w:rPr>
        <w:t>5D</w:t>
      </w:r>
      <w:r w:rsidR="00F47418" w:rsidRPr="00CC4B50">
        <w:rPr>
          <w:rFonts w:ascii="Arial" w:hAnsi="Arial" w:cs="Arial"/>
          <w:sz w:val="20"/>
          <w:szCs w:val="20"/>
        </w:rPr>
        <w:t>.</w:t>
      </w:r>
    </w:p>
    <w:p w14:paraId="49503759" w14:textId="38231A28" w:rsidR="00110234" w:rsidRPr="00CC4B50" w:rsidRDefault="001D730E" w:rsidP="00DA41B6">
      <w:pPr>
        <w:widowControl/>
        <w:spacing w:after="0" w:line="240" w:lineRule="auto"/>
        <w:rPr>
          <w:rStyle w:val="af"/>
          <w:rFonts w:ascii="Arial" w:hAnsi="Arial" w:cs="Arial"/>
          <w:b w:val="0"/>
          <w:bCs w:val="0"/>
          <w:sz w:val="20"/>
          <w:szCs w:val="20"/>
        </w:rPr>
      </w:pPr>
      <w:r w:rsidRPr="00CC4B50">
        <w:rPr>
          <w:rStyle w:val="af"/>
          <w:rFonts w:ascii="Arial" w:hAnsi="Arial" w:cs="Arial"/>
          <w:sz w:val="20"/>
          <w:szCs w:val="20"/>
        </w:rPr>
        <w:t>Figure S2. Interfacial hydrogen-bond and salt-bridge dynamics during molecular dynamics simulations.</w:t>
      </w:r>
      <w:r w:rsidR="00023A5A" w:rsidRPr="00CC4B50">
        <w:rPr>
          <w:rFonts w:ascii="Arial" w:hAnsi="Arial" w:cs="Arial"/>
          <w:sz w:val="20"/>
          <w:szCs w:val="20"/>
        </w:rPr>
        <w:t xml:space="preserve"> </w:t>
      </w:r>
      <w:r w:rsidR="00FC4191" w:rsidRPr="00CC4B50">
        <w:rPr>
          <w:rFonts w:ascii="Arial" w:hAnsi="Arial" w:cs="Arial"/>
          <w:b/>
          <w:bCs/>
          <w:sz w:val="20"/>
          <w:szCs w:val="20"/>
        </w:rPr>
        <w:t>(A)</w:t>
      </w:r>
      <w:r w:rsidR="00FC4191" w:rsidRPr="00CC4B50">
        <w:rPr>
          <w:rFonts w:ascii="Arial" w:hAnsi="Arial" w:cs="Arial"/>
          <w:sz w:val="20"/>
          <w:szCs w:val="20"/>
        </w:rPr>
        <w:t xml:space="preserve"> Survival probability of interfacial hydrogen bonds as a function of lag time. </w:t>
      </w:r>
      <w:r w:rsidR="00FC4191" w:rsidRPr="00CC4B50">
        <w:rPr>
          <w:rFonts w:ascii="Arial" w:hAnsi="Arial" w:cs="Arial"/>
          <w:b/>
          <w:bCs/>
          <w:sz w:val="20"/>
          <w:szCs w:val="20"/>
        </w:rPr>
        <w:t>(B)</w:t>
      </w:r>
      <w:r w:rsidR="00FC4191" w:rsidRPr="00CC4B50">
        <w:rPr>
          <w:rFonts w:ascii="Arial" w:hAnsi="Arial" w:cs="Arial"/>
          <w:sz w:val="20"/>
          <w:szCs w:val="20"/>
        </w:rPr>
        <w:t xml:space="preserve"> Survival probability of interfacial salt bridges as a function of lag time for WT and mutant systems. The characteristic lifetime, τ, is indicated where </w:t>
      </w:r>
      <w:r w:rsidR="00F47418" w:rsidRPr="00CC4B50">
        <w:rPr>
          <w:rFonts w:ascii="Arial" w:hAnsi="Arial" w:cs="Arial"/>
          <w:sz w:val="20"/>
          <w:szCs w:val="20"/>
        </w:rPr>
        <w:t>calculable</w:t>
      </w:r>
      <w:r w:rsidR="00FC4191" w:rsidRPr="00CC4B50">
        <w:rPr>
          <w:rFonts w:ascii="Arial" w:hAnsi="Arial" w:cs="Arial"/>
          <w:sz w:val="20"/>
          <w:szCs w:val="20"/>
        </w:rPr>
        <w:t xml:space="preserve">. These analyses </w:t>
      </w:r>
      <w:r w:rsidR="00990639" w:rsidRPr="00CC4B50">
        <w:rPr>
          <w:rFonts w:ascii="Arial" w:hAnsi="Arial" w:cs="Arial"/>
          <w:sz w:val="20"/>
          <w:szCs w:val="20"/>
        </w:rPr>
        <w:t>highlight</w:t>
      </w:r>
      <w:r w:rsidR="00FC4191" w:rsidRPr="00CC4B50">
        <w:rPr>
          <w:rFonts w:ascii="Arial" w:hAnsi="Arial" w:cs="Arial"/>
          <w:sz w:val="20"/>
          <w:szCs w:val="20"/>
        </w:rPr>
        <w:t xml:space="preserve"> </w:t>
      </w:r>
      <w:r w:rsidR="00990639" w:rsidRPr="00CC4B50">
        <w:rPr>
          <w:rFonts w:ascii="Arial" w:hAnsi="Arial" w:cs="Arial"/>
          <w:color w:val="0F1115"/>
          <w:sz w:val="20"/>
          <w:szCs w:val="20"/>
        </w:rPr>
        <w:t>mutation-induced alterations</w:t>
      </w:r>
      <w:r w:rsidR="00FC4191" w:rsidRPr="00CC4B50">
        <w:rPr>
          <w:rFonts w:ascii="Arial" w:hAnsi="Arial" w:cs="Arial"/>
          <w:sz w:val="20"/>
          <w:szCs w:val="20"/>
        </w:rPr>
        <w:t xml:space="preserve"> in the persistence of interfacial interactions</w:t>
      </w:r>
      <w:r w:rsidRPr="00CC4B50">
        <w:rPr>
          <w:rFonts w:ascii="Arial" w:hAnsi="Arial" w:cs="Arial"/>
          <w:sz w:val="20"/>
          <w:szCs w:val="20"/>
        </w:rPr>
        <w:t>.</w:t>
      </w:r>
    </w:p>
    <w:p w14:paraId="38E0E651" w14:textId="1F4F4100" w:rsidR="00110234" w:rsidRPr="00CC4B50" w:rsidRDefault="001D730E" w:rsidP="00DA41B6">
      <w:pPr>
        <w:widowControl/>
        <w:spacing w:after="0" w:line="240" w:lineRule="auto"/>
        <w:rPr>
          <w:rStyle w:val="af"/>
          <w:rFonts w:ascii="Arial" w:hAnsi="Arial" w:cs="Arial"/>
          <w:b w:val="0"/>
          <w:bCs w:val="0"/>
          <w:sz w:val="20"/>
          <w:szCs w:val="20"/>
        </w:rPr>
      </w:pPr>
      <w:r w:rsidRPr="00CC4B50">
        <w:rPr>
          <w:rStyle w:val="af"/>
          <w:rFonts w:ascii="Arial" w:hAnsi="Arial" w:cs="Arial"/>
          <w:sz w:val="20"/>
          <w:szCs w:val="20"/>
        </w:rPr>
        <w:t>Figure S3. Secondary-structure profiles during molecular dynamics simulations.</w:t>
      </w:r>
      <w:r w:rsidR="00023A5A" w:rsidRPr="00CC4B50">
        <w:rPr>
          <w:rFonts w:ascii="Arial" w:hAnsi="Arial" w:cs="Arial"/>
          <w:sz w:val="20"/>
          <w:szCs w:val="20"/>
        </w:rPr>
        <w:t xml:space="preserve"> </w:t>
      </w:r>
      <w:r w:rsidRPr="00CC4B50">
        <w:rPr>
          <w:rFonts w:ascii="Arial" w:hAnsi="Arial" w:cs="Arial"/>
          <w:sz w:val="20"/>
          <w:szCs w:val="20"/>
        </w:rPr>
        <w:t>DSSP secondary-structure profiles for WT, D111A, T110A_D111A, and T60A_S63A over the 200 ns simulation trajectories. The profiles characterize the preservation of secondary-structure architecture.</w:t>
      </w:r>
    </w:p>
    <w:p w14:paraId="3C90CFF2" w14:textId="0E3D5DFD" w:rsidR="00110234" w:rsidRPr="00CC4B50" w:rsidRDefault="001D730E" w:rsidP="00DA41B6">
      <w:pPr>
        <w:widowControl/>
        <w:spacing w:after="0" w:line="240" w:lineRule="auto"/>
        <w:rPr>
          <w:rFonts w:ascii="Arial" w:hAnsi="Arial" w:cs="Arial"/>
          <w:sz w:val="20"/>
          <w:szCs w:val="20"/>
        </w:rPr>
      </w:pPr>
      <w:r w:rsidRPr="00CC4B50">
        <w:rPr>
          <w:rStyle w:val="af"/>
          <w:rFonts w:ascii="Arial" w:hAnsi="Arial" w:cs="Arial"/>
          <w:sz w:val="20"/>
          <w:szCs w:val="20"/>
        </w:rPr>
        <w:t>Figure S4. Principal component analysis and free-energy landscape analysis of the simulated systems</w:t>
      </w:r>
      <w:r w:rsidRPr="00CC4B50">
        <w:rPr>
          <w:rStyle w:val="af"/>
          <w:rFonts w:ascii="Arial" w:hAnsi="Arial" w:cs="Arial"/>
          <w:b w:val="0"/>
          <w:bCs w:val="0"/>
          <w:sz w:val="20"/>
          <w:szCs w:val="20"/>
        </w:rPr>
        <w:t>.</w:t>
      </w:r>
      <w:r w:rsidR="00023A5A" w:rsidRPr="00CC4B50">
        <w:rPr>
          <w:rFonts w:ascii="Arial" w:hAnsi="Arial" w:cs="Arial"/>
          <w:b/>
          <w:bCs/>
          <w:sz w:val="20"/>
          <w:szCs w:val="20"/>
        </w:rPr>
        <w:t xml:space="preserve"> </w:t>
      </w:r>
      <w:r w:rsidRPr="00CC4B50">
        <w:rPr>
          <w:rFonts w:ascii="Arial" w:hAnsi="Arial" w:cs="Arial"/>
          <w:b/>
          <w:bCs/>
          <w:sz w:val="20"/>
          <w:szCs w:val="20"/>
        </w:rPr>
        <w:t xml:space="preserve">(A) </w:t>
      </w:r>
      <w:r w:rsidRPr="00CC4B50">
        <w:rPr>
          <w:rFonts w:ascii="Arial" w:hAnsi="Arial" w:cs="Arial"/>
          <w:sz w:val="20"/>
          <w:szCs w:val="20"/>
        </w:rPr>
        <w:t>PCA projections of the WT, D111A, T110A_D111A, and T60A_S63A trajectories.</w:t>
      </w:r>
      <w:r w:rsidRPr="00CC4B50">
        <w:rPr>
          <w:rFonts w:ascii="Arial" w:hAnsi="Arial" w:cs="Arial"/>
          <w:b/>
          <w:bCs/>
          <w:sz w:val="20"/>
          <w:szCs w:val="20"/>
        </w:rPr>
        <w:t xml:space="preserve"> (B) </w:t>
      </w:r>
      <w:r w:rsidRPr="00CC4B50">
        <w:rPr>
          <w:rFonts w:ascii="Arial" w:hAnsi="Arial" w:cs="Arial"/>
          <w:sz w:val="20"/>
          <w:szCs w:val="20"/>
        </w:rPr>
        <w:t>F</w:t>
      </w:r>
      <w:r w:rsidR="00692C58" w:rsidRPr="00CC4B50">
        <w:rPr>
          <w:rFonts w:ascii="Arial" w:hAnsi="Arial" w:cs="Arial"/>
          <w:sz w:val="20"/>
          <w:szCs w:val="20"/>
        </w:rPr>
        <w:t>EL</w:t>
      </w:r>
      <w:r w:rsidRPr="00CC4B50">
        <w:rPr>
          <w:rFonts w:ascii="Arial" w:hAnsi="Arial" w:cs="Arial"/>
          <w:sz w:val="20"/>
          <w:szCs w:val="20"/>
        </w:rPr>
        <w:t>s constructed from the principal components. The landscapes characterize differences in the sampled conformational distributions among the simulated systems.</w:t>
      </w:r>
    </w:p>
    <w:p w14:paraId="5F2E44BF" w14:textId="6917071E" w:rsidR="00F21855" w:rsidRPr="00CC4B50" w:rsidRDefault="001D730E" w:rsidP="00DA41B6">
      <w:pPr>
        <w:widowControl/>
        <w:spacing w:after="0" w:line="240" w:lineRule="auto"/>
        <w:rPr>
          <w:rFonts w:ascii="Arial" w:hAnsi="Arial" w:cs="Arial"/>
          <w:noProof/>
          <w:sz w:val="20"/>
          <w:szCs w:val="20"/>
        </w:rPr>
      </w:pPr>
      <w:r w:rsidRPr="00CC4B50">
        <w:rPr>
          <w:rStyle w:val="af"/>
          <w:rFonts w:ascii="Arial" w:hAnsi="Arial" w:cs="Arial"/>
          <w:sz w:val="20"/>
          <w:szCs w:val="20"/>
        </w:rPr>
        <w:t>Figure S5. Markov state model validation.</w:t>
      </w:r>
      <w:r w:rsidR="00023A5A" w:rsidRPr="00CC4B50">
        <w:rPr>
          <w:rFonts w:ascii="Arial" w:hAnsi="Arial" w:cs="Arial"/>
          <w:sz w:val="20"/>
          <w:szCs w:val="20"/>
        </w:rPr>
        <w:t xml:space="preserve"> </w:t>
      </w:r>
      <w:r w:rsidRPr="00CC4B50">
        <w:rPr>
          <w:rFonts w:ascii="Arial" w:hAnsi="Arial" w:cs="Arial"/>
          <w:b/>
          <w:bCs/>
          <w:sz w:val="20"/>
          <w:szCs w:val="20"/>
        </w:rPr>
        <w:t xml:space="preserve">(A) </w:t>
      </w:r>
      <w:r w:rsidRPr="00CC4B50">
        <w:rPr>
          <w:rFonts w:ascii="Arial" w:hAnsi="Arial" w:cs="Arial"/>
          <w:sz w:val="20"/>
          <w:szCs w:val="20"/>
        </w:rPr>
        <w:t>I</w:t>
      </w:r>
      <w:r w:rsidR="00DD752B" w:rsidRPr="00CC4B50">
        <w:rPr>
          <w:rFonts w:ascii="Arial" w:hAnsi="Arial" w:cs="Arial"/>
        </w:rPr>
        <w:t>mplied timescale convergence</w:t>
      </w:r>
      <w:r w:rsidRPr="00CC4B50">
        <w:rPr>
          <w:rFonts w:ascii="Arial" w:hAnsi="Arial" w:cs="Arial"/>
          <w:sz w:val="20"/>
          <w:szCs w:val="20"/>
        </w:rPr>
        <w:t xml:space="preserve"> at different lag times. </w:t>
      </w:r>
      <w:r w:rsidRPr="00CC4B50">
        <w:rPr>
          <w:rFonts w:ascii="Arial" w:hAnsi="Arial" w:cs="Arial"/>
          <w:b/>
          <w:bCs/>
          <w:sz w:val="20"/>
          <w:szCs w:val="20"/>
        </w:rPr>
        <w:t xml:space="preserve">(B) </w:t>
      </w:r>
      <w:r w:rsidRPr="00CC4B50">
        <w:rPr>
          <w:rFonts w:ascii="Arial" w:hAnsi="Arial" w:cs="Arial"/>
          <w:sz w:val="20"/>
          <w:szCs w:val="20"/>
        </w:rPr>
        <w:t>C</w:t>
      </w:r>
      <w:r w:rsidR="00DD752B" w:rsidRPr="00CC4B50">
        <w:rPr>
          <w:rFonts w:ascii="Arial" w:hAnsi="Arial" w:cs="Arial"/>
          <w:sz w:val="20"/>
          <w:szCs w:val="20"/>
        </w:rPr>
        <w:t>K</w:t>
      </w:r>
      <w:r w:rsidRPr="00CC4B50">
        <w:rPr>
          <w:rFonts w:ascii="Arial" w:hAnsi="Arial" w:cs="Arial"/>
          <w:sz w:val="20"/>
          <w:szCs w:val="20"/>
        </w:rPr>
        <w:t xml:space="preserve"> test results comparing model-predicted and estimated state probabilities. </w:t>
      </w:r>
      <w:r w:rsidRPr="00CC4B50">
        <w:rPr>
          <w:rFonts w:ascii="Arial" w:hAnsi="Arial" w:cs="Arial"/>
          <w:b/>
          <w:bCs/>
          <w:sz w:val="20"/>
          <w:szCs w:val="20"/>
        </w:rPr>
        <w:t xml:space="preserve">(C) </w:t>
      </w:r>
      <w:r w:rsidRPr="00CC4B50">
        <w:rPr>
          <w:rFonts w:ascii="Arial" w:hAnsi="Arial" w:cs="Arial"/>
          <w:sz w:val="20"/>
          <w:szCs w:val="20"/>
        </w:rPr>
        <w:t xml:space="preserve">Eigenvalue spectrum showing the separation around the fifth eigenvalue. </w:t>
      </w:r>
      <w:r w:rsidRPr="00CC4B50">
        <w:rPr>
          <w:rFonts w:ascii="Arial" w:hAnsi="Arial" w:cs="Arial"/>
          <w:b/>
          <w:bCs/>
          <w:sz w:val="20"/>
          <w:szCs w:val="20"/>
        </w:rPr>
        <w:t xml:space="preserve">(D) </w:t>
      </w:r>
      <w:r w:rsidRPr="00CC4B50">
        <w:rPr>
          <w:rFonts w:ascii="Arial" w:hAnsi="Arial" w:cs="Arial"/>
          <w:sz w:val="20"/>
          <w:szCs w:val="20"/>
        </w:rPr>
        <w:t>Timescale separation supporting the five-</w:t>
      </w:r>
      <w:proofErr w:type="spellStart"/>
      <w:r w:rsidRPr="00CC4B50">
        <w:rPr>
          <w:rFonts w:ascii="Arial" w:hAnsi="Arial" w:cs="Arial"/>
          <w:sz w:val="20"/>
          <w:szCs w:val="20"/>
        </w:rPr>
        <w:t>macrostate</w:t>
      </w:r>
      <w:proofErr w:type="spellEnd"/>
      <w:r w:rsidRPr="00CC4B50">
        <w:rPr>
          <w:rFonts w:ascii="Arial" w:hAnsi="Arial" w:cs="Arial"/>
          <w:sz w:val="20"/>
          <w:szCs w:val="20"/>
        </w:rPr>
        <w:t xml:space="preserve"> coarse-grained model.</w:t>
      </w:r>
    </w:p>
    <w:p w14:paraId="5107BBBE" w14:textId="235BE895" w:rsidR="00067D06" w:rsidRPr="00CC4B50" w:rsidRDefault="001D730E" w:rsidP="00DA41B6">
      <w:pPr>
        <w:widowControl/>
        <w:spacing w:after="0" w:line="240" w:lineRule="auto"/>
        <w:rPr>
          <w:rFonts w:ascii="Arial" w:hAnsi="Arial" w:cs="Arial"/>
          <w:sz w:val="20"/>
          <w:szCs w:val="20"/>
        </w:rPr>
      </w:pPr>
      <w:r w:rsidRPr="00CC4B50">
        <w:rPr>
          <w:rStyle w:val="af"/>
          <w:rFonts w:ascii="Arial" w:hAnsi="Arial" w:cs="Arial"/>
          <w:sz w:val="20"/>
          <w:szCs w:val="20"/>
        </w:rPr>
        <w:t>Figure S6. Integrative computational framework for dissecting FcµR–IgM recognition.</w:t>
      </w:r>
      <w:r w:rsidR="00023A5A" w:rsidRPr="00CC4B50">
        <w:rPr>
          <w:rFonts w:ascii="Arial" w:hAnsi="Arial" w:cs="Arial"/>
          <w:sz w:val="20"/>
          <w:szCs w:val="20"/>
        </w:rPr>
        <w:t xml:space="preserve"> </w:t>
      </w:r>
      <w:r w:rsidRPr="00CC4B50">
        <w:rPr>
          <w:rFonts w:ascii="Arial" w:hAnsi="Arial" w:cs="Arial"/>
          <w:sz w:val="20"/>
          <w:szCs w:val="20"/>
        </w:rPr>
        <w:t>Starting from seven experimentally resolved FcµR–IgM complex structures, th</w:t>
      </w:r>
      <w:r w:rsidR="00990639" w:rsidRPr="00CC4B50">
        <w:rPr>
          <w:rFonts w:ascii="Arial" w:hAnsi="Arial" w:cs="Arial"/>
          <w:sz w:val="20"/>
          <w:szCs w:val="20"/>
        </w:rPr>
        <w:t>is</w:t>
      </w:r>
      <w:r w:rsidRPr="00CC4B50">
        <w:rPr>
          <w:rFonts w:ascii="Arial" w:hAnsi="Arial" w:cs="Arial"/>
          <w:sz w:val="20"/>
          <w:szCs w:val="20"/>
        </w:rPr>
        <w:t xml:space="preserve"> study integrates structural comparison, interface contact analysis, evolutionary conservation assessment, computational alanine scanning, molecular dynamics simulations, and Markov state modeling. These complementary computational analyses evaluate sequence conservation, energetic contributions, and conformational dynamics of the FcµR–IgM interface across distinct IgM oligomeric states. Detailed procedures for each analysis are described in Materials and Methods.</w:t>
      </w:r>
    </w:p>
    <w:sectPr w:rsidR="00067D06" w:rsidRPr="00CC4B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5E8"/>
    <w:rsid w:val="00006CCD"/>
    <w:rsid w:val="00023A5A"/>
    <w:rsid w:val="00067D06"/>
    <w:rsid w:val="00090D11"/>
    <w:rsid w:val="00110234"/>
    <w:rsid w:val="00124457"/>
    <w:rsid w:val="001D730E"/>
    <w:rsid w:val="001F4EF2"/>
    <w:rsid w:val="001F622D"/>
    <w:rsid w:val="0022413A"/>
    <w:rsid w:val="002705E4"/>
    <w:rsid w:val="002F35E8"/>
    <w:rsid w:val="004C0AF1"/>
    <w:rsid w:val="004D0AAF"/>
    <w:rsid w:val="005A07CB"/>
    <w:rsid w:val="005E25FE"/>
    <w:rsid w:val="00637505"/>
    <w:rsid w:val="00692C58"/>
    <w:rsid w:val="006E57FB"/>
    <w:rsid w:val="00791D25"/>
    <w:rsid w:val="007D39E1"/>
    <w:rsid w:val="00810D7B"/>
    <w:rsid w:val="00826C37"/>
    <w:rsid w:val="0097546F"/>
    <w:rsid w:val="00990639"/>
    <w:rsid w:val="00AB7640"/>
    <w:rsid w:val="00AE4E66"/>
    <w:rsid w:val="00AE79FA"/>
    <w:rsid w:val="00C22532"/>
    <w:rsid w:val="00CC4B50"/>
    <w:rsid w:val="00D046D6"/>
    <w:rsid w:val="00D970AC"/>
    <w:rsid w:val="00DA41B6"/>
    <w:rsid w:val="00DD752B"/>
    <w:rsid w:val="00E2757B"/>
    <w:rsid w:val="00E64BA1"/>
    <w:rsid w:val="00EC7795"/>
    <w:rsid w:val="00EC7CA2"/>
    <w:rsid w:val="00F00D42"/>
    <w:rsid w:val="00F21855"/>
    <w:rsid w:val="00F47418"/>
    <w:rsid w:val="00F932DF"/>
    <w:rsid w:val="00FC41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D0C9F"/>
  <w15:chartTrackingRefBased/>
  <w15:docId w15:val="{B07C5990-3F6F-A04B-BB4E-FBBC28659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F35E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2F35E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2F35E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F35E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F35E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F35E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F35E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F35E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F35E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F35E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2F35E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2F35E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F35E8"/>
    <w:rPr>
      <w:rFonts w:cstheme="majorBidi"/>
      <w:color w:val="0F4761" w:themeColor="accent1" w:themeShade="BF"/>
      <w:sz w:val="28"/>
      <w:szCs w:val="28"/>
    </w:rPr>
  </w:style>
  <w:style w:type="character" w:customStyle="1" w:styleId="50">
    <w:name w:val="标题 5 字符"/>
    <w:basedOn w:val="a0"/>
    <w:link w:val="5"/>
    <w:uiPriority w:val="9"/>
    <w:semiHidden/>
    <w:rsid w:val="002F35E8"/>
    <w:rPr>
      <w:rFonts w:cstheme="majorBidi"/>
      <w:color w:val="0F4761" w:themeColor="accent1" w:themeShade="BF"/>
      <w:sz w:val="24"/>
    </w:rPr>
  </w:style>
  <w:style w:type="character" w:customStyle="1" w:styleId="60">
    <w:name w:val="标题 6 字符"/>
    <w:basedOn w:val="a0"/>
    <w:link w:val="6"/>
    <w:uiPriority w:val="9"/>
    <w:semiHidden/>
    <w:rsid w:val="002F35E8"/>
    <w:rPr>
      <w:rFonts w:cstheme="majorBidi"/>
      <w:b/>
      <w:bCs/>
      <w:color w:val="0F4761" w:themeColor="accent1" w:themeShade="BF"/>
    </w:rPr>
  </w:style>
  <w:style w:type="character" w:customStyle="1" w:styleId="70">
    <w:name w:val="标题 7 字符"/>
    <w:basedOn w:val="a0"/>
    <w:link w:val="7"/>
    <w:uiPriority w:val="9"/>
    <w:semiHidden/>
    <w:rsid w:val="002F35E8"/>
    <w:rPr>
      <w:rFonts w:cstheme="majorBidi"/>
      <w:b/>
      <w:bCs/>
      <w:color w:val="595959" w:themeColor="text1" w:themeTint="A6"/>
    </w:rPr>
  </w:style>
  <w:style w:type="character" w:customStyle="1" w:styleId="80">
    <w:name w:val="标题 8 字符"/>
    <w:basedOn w:val="a0"/>
    <w:link w:val="8"/>
    <w:uiPriority w:val="9"/>
    <w:semiHidden/>
    <w:rsid w:val="002F35E8"/>
    <w:rPr>
      <w:rFonts w:cstheme="majorBidi"/>
      <w:color w:val="595959" w:themeColor="text1" w:themeTint="A6"/>
    </w:rPr>
  </w:style>
  <w:style w:type="character" w:customStyle="1" w:styleId="90">
    <w:name w:val="标题 9 字符"/>
    <w:basedOn w:val="a0"/>
    <w:link w:val="9"/>
    <w:uiPriority w:val="9"/>
    <w:semiHidden/>
    <w:rsid w:val="002F35E8"/>
    <w:rPr>
      <w:rFonts w:eastAsiaTheme="majorEastAsia" w:cstheme="majorBidi"/>
      <w:color w:val="595959" w:themeColor="text1" w:themeTint="A6"/>
    </w:rPr>
  </w:style>
  <w:style w:type="paragraph" w:styleId="a3">
    <w:name w:val="Title"/>
    <w:basedOn w:val="a"/>
    <w:next w:val="a"/>
    <w:link w:val="a4"/>
    <w:uiPriority w:val="10"/>
    <w:qFormat/>
    <w:rsid w:val="002F35E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F35E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F35E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F35E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F35E8"/>
    <w:pPr>
      <w:spacing w:before="160"/>
      <w:jc w:val="center"/>
    </w:pPr>
    <w:rPr>
      <w:i/>
      <w:iCs/>
      <w:color w:val="404040" w:themeColor="text1" w:themeTint="BF"/>
    </w:rPr>
  </w:style>
  <w:style w:type="character" w:customStyle="1" w:styleId="a8">
    <w:name w:val="引用 字符"/>
    <w:basedOn w:val="a0"/>
    <w:link w:val="a7"/>
    <w:uiPriority w:val="29"/>
    <w:rsid w:val="002F35E8"/>
    <w:rPr>
      <w:i/>
      <w:iCs/>
      <w:color w:val="404040" w:themeColor="text1" w:themeTint="BF"/>
    </w:rPr>
  </w:style>
  <w:style w:type="paragraph" w:styleId="a9">
    <w:name w:val="List Paragraph"/>
    <w:basedOn w:val="a"/>
    <w:uiPriority w:val="34"/>
    <w:qFormat/>
    <w:rsid w:val="002F35E8"/>
    <w:pPr>
      <w:ind w:left="720"/>
      <w:contextualSpacing/>
    </w:pPr>
  </w:style>
  <w:style w:type="character" w:styleId="aa">
    <w:name w:val="Intense Emphasis"/>
    <w:basedOn w:val="a0"/>
    <w:uiPriority w:val="21"/>
    <w:qFormat/>
    <w:rsid w:val="002F35E8"/>
    <w:rPr>
      <w:i/>
      <w:iCs/>
      <w:color w:val="0F4761" w:themeColor="accent1" w:themeShade="BF"/>
    </w:rPr>
  </w:style>
  <w:style w:type="paragraph" w:styleId="ab">
    <w:name w:val="Intense Quote"/>
    <w:basedOn w:val="a"/>
    <w:next w:val="a"/>
    <w:link w:val="ac"/>
    <w:uiPriority w:val="30"/>
    <w:qFormat/>
    <w:rsid w:val="002F35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F35E8"/>
    <w:rPr>
      <w:i/>
      <w:iCs/>
      <w:color w:val="0F4761" w:themeColor="accent1" w:themeShade="BF"/>
    </w:rPr>
  </w:style>
  <w:style w:type="character" w:styleId="ad">
    <w:name w:val="Intense Reference"/>
    <w:basedOn w:val="a0"/>
    <w:uiPriority w:val="32"/>
    <w:qFormat/>
    <w:rsid w:val="002F35E8"/>
    <w:rPr>
      <w:b/>
      <w:bCs/>
      <w:smallCaps/>
      <w:color w:val="0F4761" w:themeColor="accent1" w:themeShade="BF"/>
      <w:spacing w:val="5"/>
    </w:rPr>
  </w:style>
  <w:style w:type="paragraph" w:styleId="ae">
    <w:name w:val="Normal (Web)"/>
    <w:basedOn w:val="a"/>
    <w:uiPriority w:val="99"/>
    <w:unhideWhenUsed/>
    <w:rsid w:val="0097546F"/>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637505"/>
    <w:rPr>
      <w:b/>
      <w:bCs/>
    </w:rPr>
  </w:style>
  <w:style w:type="paragraph" w:customStyle="1" w:styleId="pdq2pgselectionanchorcontainer">
    <w:name w:val="pdq2pg_selectionanchorcontainer"/>
    <w:basedOn w:val="a"/>
    <w:rsid w:val="001D730E"/>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0791979">
      <w:bodyDiv w:val="1"/>
      <w:marLeft w:val="0"/>
      <w:marRight w:val="0"/>
      <w:marTop w:val="0"/>
      <w:marBottom w:val="0"/>
      <w:divBdr>
        <w:top w:val="none" w:sz="0" w:space="0" w:color="auto"/>
        <w:left w:val="none" w:sz="0" w:space="0" w:color="auto"/>
        <w:bottom w:val="none" w:sz="0" w:space="0" w:color="auto"/>
        <w:right w:val="none" w:sz="0" w:space="0" w:color="auto"/>
      </w:divBdr>
    </w:div>
    <w:div w:id="1732459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377</Words>
  <Characters>2149</Characters>
  <Application>Microsoft Office Word</Application>
  <DocSecurity>0</DocSecurity>
  <Lines>17</Lines>
  <Paragraphs>5</Paragraphs>
  <ScaleCrop>false</ScaleCrop>
  <Company/>
  <LinksUpToDate>false</LinksUpToDate>
  <CharactersWithSpaces>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YI</dc:creator>
  <cp:keywords/>
  <dc:description/>
  <cp:lastModifiedBy>WANG YI</cp:lastModifiedBy>
  <cp:revision>11</cp:revision>
  <cp:lastPrinted>2026-08-27T17:24:00Z</cp:lastPrinted>
  <dcterms:created xsi:type="dcterms:W3CDTF">2026-08-27T17:24:00Z</dcterms:created>
  <dcterms:modified xsi:type="dcterms:W3CDTF">2026-08-27T18:56:00Z</dcterms:modified>
</cp:coreProperties>
</file>