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Times New Roman" w:hAnsi="Times New Roman" w:eastAsia="黑体"/>
          <w:b/>
          <w:sz w:val="56"/>
        </w:rPr>
        <w:t>医疗设备立项建议书</w:t>
      </w:r>
    </w:p>
    <w:p>
      <w:pPr>
        <w:spacing w:after="600"/>
        <w:jc w:val="center"/>
      </w:pPr>
      <w:r>
        <w:rPr>
          <w:rFonts w:ascii="Times New Roman" w:hAnsi="Times New Roman" w:eastAsia="宋体"/>
          <w:sz w:val="32"/>
        </w:rPr>
        <w:t>——医用磁共振成像系统（多核）采购项目</w:t>
      </w:r>
    </w:p>
    <w:p>
      <w:pPr>
        <w:spacing w:after="480"/>
        <w:jc w:val="center"/>
      </w:pPr>
      <w:r>
        <w:rPr>
          <w:color w:val="AAAAAA"/>
        </w:rPr>
        <w:t>────────────────────────────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申报科室：</w:t>
      </w:r>
      <w:r>
        <w:rPr>
          <w:rFonts w:ascii="Times New Roman" w:hAnsi="Times New Roman" w:eastAsia="宋体"/>
          <w:sz w:val="24"/>
        </w:rPr>
        <w:t>放射科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文件版本：</w:t>
      </w:r>
      <w:r>
        <w:rPr>
          <w:rFonts w:ascii="Times New Roman" w:hAnsi="Times New Roman" w:eastAsia="宋体"/>
          <w:sz w:val="24"/>
        </w:rPr>
        <w:t>V1.0（AI 辅助生成，供内部审批参考）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编制日期：</w:t>
      </w:r>
      <w:r>
        <w:rPr>
          <w:rFonts w:ascii="Times New Roman" w:hAnsi="Times New Roman" w:eastAsia="宋体"/>
          <w:sz w:val="24"/>
        </w:rPr>
        <w:t>2026年05月20日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文件性质：</w:t>
      </w:r>
      <w:r>
        <w:rPr>
          <w:rFonts w:ascii="Times New Roman" w:hAnsi="Times New Roman" w:eastAsia="宋体"/>
          <w:sz w:val="24"/>
        </w:rPr>
        <w:t>内部审批文件  ·  保密级别：内部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sz w:val="30"/>
        </w:rPr>
        <w:t>二、临床需求与必要性分析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（一）临床痛点明确</w:t>
      </w:r>
    </w:p>
    <w:p>
      <w:pPr>
        <w:spacing w:after="80"/>
        <w:ind w:firstLine="420"/>
      </w:pPr>
      <w:r>
        <w:rPr>
          <w:rFonts w:ascii="Times New Roman" w:hAnsi="Times New Roman" w:eastAsia="宋体"/>
          <w:sz w:val="21"/>
        </w:rPr>
        <w:t>当前医院在肿瘤、神经系统疾病及心血管病诊疗中面临以下核心挑战：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b/>
          <w:sz w:val="21"/>
        </w:rPr>
        <w:t>缺乏无创代谢评估工具</w:t>
      </w:r>
      <w:r>
        <w:rPr>
          <w:rFonts w:ascii="Times New Roman" w:hAnsi="Times New Roman" w:eastAsia="宋体"/>
          <w:sz w:val="21"/>
        </w:rPr>
        <w:t>：传统MRI主要提供解剖结构信息，无法对组织代谢状态进行定量分析；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b/>
          <w:sz w:val="21"/>
        </w:rPr>
        <w:t>精准诊疗能力受限</w:t>
      </w:r>
      <w:r>
        <w:rPr>
          <w:rFonts w:ascii="Times New Roman" w:hAnsi="Times New Roman" w:eastAsia="宋体"/>
          <w:sz w:val="21"/>
        </w:rPr>
        <w:t>：如脑肿瘤边界界定、阿尔茨海默病早期诊断、心肌活力评估等场景亟需功能性成像支持；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b/>
          <w:sz w:val="21"/>
        </w:rPr>
        <w:t>科研转化瓶颈突出</w:t>
      </w:r>
      <w:r>
        <w:rPr>
          <w:rFonts w:ascii="Times New Roman" w:hAnsi="Times New Roman" w:eastAsia="宋体"/>
          <w:sz w:val="21"/>
        </w:rPr>
        <w:t>：多核MRI（如¹³C、²³Na、³¹P）是国际前沿研究方向，但现有设备不支持相关序列开发与应用。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（二）合理性评估结果</w:t>
      </w:r>
    </w:p>
    <w:p>
      <w:pPr>
        <w:spacing w:after="80"/>
        <w:ind w:firstLine="420"/>
      </w:pPr>
      <w:r>
        <w:rPr>
          <w:rFonts w:ascii="Times New Roman" w:hAnsi="Times New Roman" w:eastAsia="宋体"/>
          <w:sz w:val="21"/>
        </w:rPr>
        <w:t xml:space="preserve">根据申康中心市级绩效评估体系中的“三维合理性门控”机制，本项目当前判定为 </w:t>
      </w:r>
      <w:r>
        <w:rPr>
          <w:rFonts w:ascii="Times New Roman" w:hAnsi="Times New Roman" w:eastAsia="宋体"/>
          <w:b/>
          <w:sz w:val="21"/>
        </w:rPr>
        <w:t>conditional（有条件通过）</w:t>
      </w:r>
      <w:r>
        <w:rPr>
          <w:rFonts w:ascii="Times New Roman" w:hAnsi="Times New Roman" w:eastAsia="宋体"/>
          <w:sz w:val="21"/>
        </w:rPr>
        <w:t>，具体维度如下：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当前得分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市级基准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状态说明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工作负荷率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68.0%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78.84%（市均）&lt;br&gt;83.32%（综合医院中位数）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低于基准线</w:t>
            </w:r>
            <w:r>
              <w:rPr>
                <w:rFonts w:ascii="Times New Roman" w:hAnsi="Times New Roman" w:eastAsia="宋体"/>
                <w:sz w:val="19"/>
              </w:rPr>
              <w:t>，属红色预警区间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候检时间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4.7天（市均）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数据缺失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检查阳性率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需从HIS系统提取近12个月数据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设备成新率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9"/>
              </w:rPr>
              <w:t>无法判断是否属于更新替换场景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pBdr>
          <w:left w:val="single" w:sz="12" w:space="8" w:color="4472C4"/>
        </w:pBdr>
      </w:pPr>
      <w:r>
        <w:rPr>
          <w:rFonts w:ascii="Times New Roman" w:hAnsi="Times New Roman" w:eastAsia="宋体"/>
          <w:b/>
          <w:color w:val="444466"/>
          <w:sz w:val="20"/>
        </w:rPr>
        <w:t>结论依据</w:t>
      </w:r>
      <w:r>
        <w:rPr>
          <w:rFonts w:ascii="Times New Roman" w:hAnsi="Times New Roman" w:eastAsia="宋体"/>
          <w:color w:val="444466"/>
          <w:sz w:val="20"/>
        </w:rPr>
        <w:t>： 根据 rationality_gate 的 verdict=conditional 判定，工作负荷虽未达标，但考虑到本项目聚焦于</w:t>
      </w:r>
      <w:r>
        <w:rPr>
          <w:rFonts w:ascii="Times New Roman" w:hAnsi="Times New Roman" w:eastAsia="宋体"/>
          <w:b/>
          <w:color w:val="444466"/>
          <w:sz w:val="20"/>
        </w:rPr>
        <w:t>新增多核代谢成像功能</w:t>
      </w:r>
      <w:r>
        <w:rPr>
          <w:rFonts w:ascii="Times New Roman" w:hAnsi="Times New Roman" w:eastAsia="宋体"/>
          <w:color w:val="444466"/>
          <w:sz w:val="20"/>
        </w:rPr>
        <w:t>而非单纯扩容常规检查量，且阳性率与候检时间数据尚未补充，暂不构成否决条件。建议后续补充运营数据以完成闭环评估。</w:t>
      </w:r>
    </w:p>
    <w:p>
      <w:pPr>
        <w:spacing w:before="40" w:after="40"/>
        <w:pBdr>
          <w:top w:val="single" w:sz="6" w:space="1" w:color="CCCCCC"/>
        </w:pBdr>
      </w:pP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sz w:val="30"/>
        </w:rPr>
        <w:t>三、设备选型对比分析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sz w:val="21"/>
        </w:rPr>
        <w:t>本次纳入比选范围的均为</w:t>
      </w:r>
      <w:r>
        <w:rPr>
          <w:rFonts w:ascii="Times New Roman" w:hAnsi="Times New Roman" w:eastAsia="宋体"/>
          <w:b/>
          <w:sz w:val="21"/>
        </w:rPr>
        <w:t>3.0T高场强磁共振系统</w:t>
      </w:r>
      <w:r>
        <w:rPr>
          <w:rFonts w:ascii="Times New Roman" w:hAnsi="Times New Roman" w:eastAsia="宋体"/>
          <w:sz w:val="21"/>
        </w:rPr>
        <w:t>，排除所有1.5T及以下低场设备（详见 ingest_compliance.reference_only_competitors）。最终推荐型号基于技术先进性、价格合理性及本地服务支持综合评定。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主流品牌3.0T MRI关键参数对比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品牌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型号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孔径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梯度场强 (mT/m)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射频通道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特色技术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报价（万元）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飞利浦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Ingenia Elition 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70cm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&gt;256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双射频源（2×18kW）、智能感知工作流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1,300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飞利浦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Innovation Ultra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70cm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80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&gt;256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Vital Eye人体感知、双射频源（2×20kW）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1,700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联影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uMR 870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70cm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DeepRecon深度重建、MoCap运动监控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【未报价】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GE医疗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SIGNA™ Performer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70cm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室内双屏、深度学习嵌入架构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【未报价】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西门子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MAGNETOM Mica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Quiet X静音、去金属伪影、5G远程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【未报价】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西门子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MAGNETOM Lumina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70cm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【待确认】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180通道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零液氦挥发、AI双引擎、QuietSuite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19"/>
              </w:rPr>
              <w:t>【未报价】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pBdr>
          <w:left w:val="single" w:sz="12" w:space="8" w:color="4472C4"/>
        </w:pBdr>
      </w:pPr>
      <w:r>
        <w:rPr>
          <w:rFonts w:ascii="Times New Roman" w:hAnsi="Times New Roman" w:eastAsia="宋体"/>
          <w:b/>
          <w:color w:val="444466"/>
          <w:sz w:val="20"/>
        </w:rPr>
        <w:t>注</w:t>
      </w:r>
      <w:r>
        <w:rPr>
          <w:rFonts w:ascii="Times New Roman" w:hAnsi="Times New Roman" w:eastAsia="宋体"/>
          <w:color w:val="444466"/>
          <w:sz w:val="20"/>
        </w:rPr>
        <w:t>：西门子Lumina彩页（Lumina中文彩页-尚未获得广审-仅供内部使用.pdf）因未通过广告审查，其宣传参数不得作为正式选型依据（见 ingest_compliance.excluded_internal_promo）。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推荐理由：飞利浦 Ingenia Elition S</w:t>
      </w:r>
    </w:p>
    <w:p>
      <w:pPr>
        <w:pStyle w:val="ListNumber"/>
        <w:spacing w:after="40"/>
        <w:ind w:left="340"/>
      </w:pPr>
      <w:r>
        <w:rPr>
          <w:rFonts w:ascii="Times New Roman" w:hAnsi="Times New Roman" w:eastAsia="宋体"/>
          <w:b/>
          <w:sz w:val="21"/>
        </w:rPr>
        <w:t>性价比最优</w:t>
      </w:r>
      <w:r>
        <w:rPr>
          <w:rFonts w:ascii="Times New Roman" w:hAnsi="Times New Roman" w:eastAsia="宋体"/>
          <w:sz w:val="21"/>
        </w:rPr>
        <w:t>：在具备70cm大孔径、&gt;256通道相控阵、双射频源等高端配置前提下，报价显著低于Innovation Ultra（差价400万元）；</w:t>
      </w:r>
    </w:p>
    <w:p>
      <w:pPr>
        <w:pStyle w:val="ListNumber"/>
        <w:spacing w:after="40"/>
        <w:ind w:left="340"/>
      </w:pPr>
      <w:r>
        <w:rPr>
          <w:rFonts w:ascii="Times New Roman" w:hAnsi="Times New Roman" w:eastAsia="宋体"/>
          <w:b/>
          <w:sz w:val="21"/>
        </w:rPr>
        <w:t>技术成熟度高</w:t>
      </w:r>
      <w:r>
        <w:rPr>
          <w:rFonts w:ascii="Times New Roman" w:hAnsi="Times New Roman" w:eastAsia="宋体"/>
          <w:sz w:val="21"/>
        </w:rPr>
        <w:t>：Elition系列已在国内多家三甲医院部署，支持扩散加权成像（DWI）、动脉自旋标记（ASL）、磁敏感加权成像（SWI）等高级序列；</w:t>
      </w:r>
    </w:p>
    <w:p>
      <w:pPr>
        <w:pStyle w:val="ListNumber"/>
        <w:spacing w:after="40"/>
        <w:ind w:left="340"/>
      </w:pPr>
      <w:r>
        <w:rPr>
          <w:rFonts w:ascii="Times New Roman" w:hAnsi="Times New Roman" w:eastAsia="宋体"/>
          <w:b/>
          <w:sz w:val="21"/>
        </w:rPr>
        <w:t>扩展性强</w:t>
      </w:r>
      <w:r>
        <w:rPr>
          <w:rFonts w:ascii="Times New Roman" w:hAnsi="Times New Roman" w:eastAsia="宋体"/>
          <w:sz w:val="21"/>
        </w:rPr>
        <w:t>：预留多核射频通道接口，未来可升级¹³C/²³Na等代谢成像模块；</w:t>
      </w:r>
    </w:p>
    <w:p>
      <w:pPr>
        <w:pStyle w:val="ListNumber"/>
        <w:spacing w:after="40"/>
        <w:ind w:left="340"/>
      </w:pPr>
      <w:r>
        <w:rPr>
          <w:rFonts w:ascii="Times New Roman" w:hAnsi="Times New Roman" w:eastAsia="宋体"/>
          <w:b/>
          <w:sz w:val="21"/>
        </w:rPr>
        <w:t>服务保障完善</w:t>
      </w:r>
      <w:r>
        <w:rPr>
          <w:rFonts w:ascii="Times New Roman" w:hAnsi="Times New Roman" w:eastAsia="宋体"/>
          <w:sz w:val="21"/>
        </w:rPr>
        <w:t>：飞利浦在上海设有区域服务中心，响应时效优于部分国产品牌。</w:t>
      </w:r>
    </w:p>
    <w:p>
      <w:pPr>
        <w:spacing w:before="40" w:after="40"/>
        <w:pBdr>
          <w:top w:val="single" w:sz="6" w:space="1" w:color="CCCCCC"/>
        </w:pBdr>
      </w:pP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sz w:val="30"/>
        </w:rPr>
        <w:t>四、预算测算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金额（人民币）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设备购置费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13,000,000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飞利浦 Ingenia Elition S 含税报价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安装调试费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800,000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含磁体吊装、屏蔽工程、水冷系统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机房改造费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1,200,000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估算值</w:t>
            </w:r>
            <w:r>
              <w:rPr>
                <w:rFonts w:ascii="Times New Roman" w:hAnsi="Times New Roman" w:eastAsia="宋体"/>
                <w:sz w:val="19"/>
              </w:rPr>
              <w:t>（区间100–150万），含RF屏蔽、承重加固、通风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IT系统集成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300,000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PACS/RIS对接、AI平台接入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人员培训费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150,000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含工程师驻场培训及操作认证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合计总投资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16,100,000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19"/>
              </w:rPr>
              <w:t>——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pBdr>
          <w:left w:val="single" w:sz="12" w:space="8" w:color="4472C4"/>
        </w:pBdr>
      </w:pPr>
      <w:r>
        <w:rPr>
          <w:rFonts w:ascii="Times New Roman" w:hAnsi="Times New Roman" w:eastAsia="宋体"/>
          <w:b/>
          <w:color w:val="444466"/>
          <w:sz w:val="20"/>
        </w:rPr>
        <w:t>不确定性说明</w:t>
      </w:r>
      <w:r>
        <w:rPr>
          <w:rFonts w:ascii="Times New Roman" w:hAnsi="Times New Roman" w:eastAsia="宋体"/>
          <w:color w:val="444466"/>
          <w:sz w:val="20"/>
        </w:rPr>
        <w:t>：机房改造费用无原始施工图纸及报价单支撑，当前按中位值估算，实际支出可能浮动±15%。</w:t>
      </w:r>
    </w:p>
    <w:p>
      <w:pPr>
        <w:spacing w:before="40" w:after="40"/>
        <w:pBdr>
          <w:top w:val="single" w:sz="6" w:space="1" w:color="CCCCCC"/>
        </w:pBdr>
      </w:pP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sz w:val="30"/>
        </w:rPr>
        <w:t>五、收益测算与投资回报分析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基础假设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日均检查量：20例（引用第六人民医院同类设备运营数据）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年工作日：250天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单次检查收费：800元（上海市三级医院MRI平均结算价）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医保报销比例：85%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年维护成本：65万元（合同约定）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财务模型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年检查总量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5,000例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年总收入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4,000,000元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医保实收比例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85%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年实际收入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3,400,000元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年运营成本（维护+耗材）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19"/>
              </w:rPr>
              <w:t>650,000元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年净收益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2,750,000元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静态投资回收期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5.85年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5年累计ROI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85.3%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pBdr>
          <w:left w:val="single" w:sz="12" w:space="8" w:color="4472C4"/>
        </w:pBdr>
      </w:pPr>
      <w:r>
        <w:rPr>
          <w:rFonts w:ascii="Times New Roman" w:hAnsi="Times New Roman" w:eastAsia="宋体"/>
          <w:b/>
          <w:color w:val="444466"/>
          <w:sz w:val="20"/>
        </w:rPr>
        <w:t>敏感性提示</w:t>
      </w:r>
      <w:r>
        <w:rPr>
          <w:rFonts w:ascii="Times New Roman" w:hAnsi="Times New Roman" w:eastAsia="宋体"/>
          <w:color w:val="444466"/>
          <w:sz w:val="20"/>
        </w:rPr>
        <w:t>：若日均检查量降至15例，回收期将延长至7.8年；若医保比例下降至75%，ROI将降至68%。建议加强临床科室协同，确保设备利用率稳步提升。</w:t>
      </w:r>
    </w:p>
    <w:p>
      <w:pPr>
        <w:spacing w:before="40" w:after="40"/>
        <w:pBdr>
          <w:top w:val="single" w:sz="6" w:space="1" w:color="CCCCCC"/>
        </w:pBdr>
      </w:pP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sz w:val="30"/>
        </w:rPr>
        <w:t>六、合规性审查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（一）注册证匹配性风险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提交的注册证（国械注准20243061435、20213060603）对应设备名称为“Pilot Performer”和“Lumina”，</w:t>
      </w:r>
      <w:r>
        <w:rPr>
          <w:rFonts w:ascii="Times New Roman" w:hAnsi="Times New Roman" w:eastAsia="宋体"/>
          <w:b/>
          <w:sz w:val="21"/>
        </w:rPr>
        <w:t>未明确包含“多核”功能描述</w:t>
      </w:r>
      <w:r>
        <w:rPr>
          <w:rFonts w:ascii="Times New Roman" w:hAnsi="Times New Roman" w:eastAsia="宋体"/>
          <w:sz w:val="21"/>
        </w:rPr>
        <w:t>；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注册证有效期信息缺失，无法验证是否处于有效状态。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（二）乙类大型设备配置许可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当前仅提供申请文档（.docx格式），</w:t>
      </w:r>
      <w:r>
        <w:rPr>
          <w:rFonts w:ascii="Times New Roman" w:hAnsi="Times New Roman" w:eastAsia="宋体"/>
          <w:b/>
          <w:sz w:val="21"/>
        </w:rPr>
        <w:t>未附省级卫健委正式批复文件</w:t>
      </w:r>
      <w:r>
        <w:rPr>
          <w:rFonts w:ascii="Times New Roman" w:hAnsi="Times New Roman" w:eastAsia="宋体"/>
          <w:sz w:val="21"/>
        </w:rPr>
        <w:t>，状态为 pending。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（三）价格证明完整性</w:t>
      </w:r>
    </w:p>
    <w:p>
      <w:pPr>
        <w:pStyle w:val="ListBullet"/>
        <w:spacing w:after="40"/>
        <w:ind w:left="340"/>
      </w:pPr>
      <w:r>
        <w:rPr>
          <w:rFonts w:ascii="Times New Roman" w:hAnsi="Times New Roman" w:eastAsia="宋体"/>
          <w:sz w:val="21"/>
        </w:rPr>
        <w:t>缺少加盖公章的含税报价单、三方比价记录或政府采购中标公告，</w:t>
      </w:r>
      <w:r>
        <w:rPr>
          <w:rFonts w:ascii="Times New Roman" w:hAnsi="Times New Roman" w:eastAsia="宋体"/>
          <w:b/>
          <w:sz w:val="21"/>
        </w:rPr>
        <w:t>价格合规性无法闭环验证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sz w:val="26"/>
        </w:rPr>
        <w:t>合规结论：**conditional_pass**</w:t>
      </w:r>
    </w:p>
    <w:p>
      <w:pPr>
        <w:spacing w:before="60" w:after="60"/>
        <w:ind w:left="454"/>
        <w:pBdr>
          <w:left w:val="single" w:sz="12" w:space="8" w:color="4472C4"/>
        </w:pBdr>
      </w:pPr>
      <w:r>
        <w:rPr>
          <w:rFonts w:ascii="Times New Roman" w:hAnsi="Times New Roman" w:eastAsia="宋体"/>
          <w:b/>
          <w:color w:val="444466"/>
          <w:sz w:val="20"/>
        </w:rPr>
        <w:t>整改要求</w:t>
      </w:r>
      <w:r>
        <w:rPr>
          <w:rFonts w:ascii="Times New Roman" w:hAnsi="Times New Roman" w:eastAsia="宋体"/>
          <w:color w:val="444466"/>
          <w:sz w:val="20"/>
        </w:rPr>
        <w:t>： 1. 补充目标设备（Ingenia Elition S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sz w:val="36"/>
        </w:rPr>
        <w:t>附录  AI 质量评审摘要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评审维度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得分（/10）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材料完整性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数据准确性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合规覆盖度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财务严谨性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综合评分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34  (B)</w:t>
            </w:r>
          </w:p>
        </w:tc>
      </w:tr>
    </w:tbl>
    <w:p/>
    <w:p>
      <w:r>
        <w:rPr>
          <w:rFonts w:ascii="Times New Roman" w:hAnsi="Times New Roman" w:eastAsia="黑体"/>
          <w:b/>
          <w:sz w:val="22"/>
        </w:rPr>
        <w:t>审批建议：</w:t>
      </w:r>
      <w:r>
        <w:rPr>
          <w:rFonts w:ascii="Times New Roman" w:hAnsi="Times New Roman" w:eastAsia="宋体"/>
          <w:sz w:val="22"/>
        </w:rPr>
        <w:t>建议补充材料后立项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