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1" w:name="_GoBack"/>
    </w:p>
    <w:bookmarkEnd w:id="1"/>
    <w:p>
      <w:pPr>
        <w:widowControl/>
        <w:jc w:val="center"/>
        <w:rPr>
          <w:sz w:val="52"/>
          <w:szCs w:val="52"/>
        </w:rPr>
      </w:pPr>
      <w:r>
        <w:rPr>
          <w:sz w:val="52"/>
          <w:szCs w:val="52"/>
        </w:rPr>
        <w:t>Philips</w:t>
      </w:r>
      <w:r>
        <w:rPr>
          <w:rFonts w:hint="eastAsia"/>
          <w:sz w:val="52"/>
          <w:szCs w:val="52"/>
        </w:rPr>
        <w:t xml:space="preserve"> Elition光影磁共振</w:t>
      </w:r>
    </w:p>
    <w:p>
      <w:pPr>
        <w:widowControl/>
        <w:jc w:val="left"/>
      </w:pPr>
    </w:p>
    <w:tbl>
      <w:tblPr>
        <w:tblStyle w:val="3"/>
        <w:tblW w:w="11483" w:type="dxa"/>
        <w:tblInd w:w="-156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10"/>
        <w:gridCol w:w="1701"/>
        <w:gridCol w:w="1559"/>
        <w:gridCol w:w="1985"/>
        <w:gridCol w:w="850"/>
        <w:gridCol w:w="2126"/>
        <w:gridCol w:w="1418"/>
      </w:tblGrid>
      <w:tr>
        <w:trPr>
          <w:trHeight w:val="555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设备名称</w:t>
            </w:r>
          </w:p>
        </w:tc>
        <w:tc>
          <w:tcPr>
            <w:tcW w:w="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数量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设备报价</w:t>
            </w:r>
          </w:p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/台(套)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询价后价格</w:t>
            </w:r>
          </w:p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/台(套)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设备生产厂商全称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是否获授权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报价厂商全称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报价有效期</w:t>
            </w:r>
          </w:p>
        </w:tc>
      </w:tr>
      <w:tr>
        <w:trPr>
          <w:trHeight w:val="353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Ingenia Elition S</w:t>
            </w:r>
          </w:p>
        </w:tc>
        <w:tc>
          <w:tcPr>
            <w:tcW w:w="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1300万元/套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1300万元/套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飞利浦医疗（苏州）有限公司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飞利浦（中国）投资有限公司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DengXian" w:hAnsi="DengXian" w:eastAsia="DengXian" w:cs="宋体"/>
                <w:color w:val="000000"/>
                <w:kern w:val="0"/>
                <w:sz w:val="22"/>
              </w:rPr>
            </w:pPr>
            <w:r>
              <w:rPr>
                <w:rFonts w:hint="eastAsia" w:ascii="DengXian" w:hAnsi="DengXian" w:eastAsia="DengXian" w:cs="宋体"/>
                <w:color w:val="000000"/>
                <w:kern w:val="0"/>
                <w:sz w:val="22"/>
              </w:rPr>
              <w:t>六个月</w:t>
            </w:r>
          </w:p>
        </w:tc>
      </w:tr>
    </w:tbl>
    <w:p>
      <w:pPr>
        <w:widowControl/>
        <w:jc w:val="left"/>
      </w:pPr>
    </w:p>
    <w:p>
      <w:pPr>
        <w:pStyle w:val="10"/>
        <w:widowControl/>
        <w:numPr>
          <w:ilvl w:val="0"/>
          <w:numId w:val="1"/>
        </w:numPr>
        <w:ind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 w:cs="宋体"/>
          <w:color w:val="000000"/>
          <w:kern w:val="0"/>
          <w:sz w:val="22"/>
        </w:rPr>
        <w:t>Ingenia Elition S</w:t>
      </w:r>
      <w:r>
        <w:rPr>
          <w:rFonts w:hint="eastAsia" w:ascii="DengXian" w:hAnsi="DengXian" w:eastAsia="DengXian"/>
          <w:sz w:val="22"/>
        </w:rPr>
        <w:t>技术参数：</w:t>
      </w:r>
      <w:bookmarkStart w:id="0" w:name="_MON_1839060585"/>
      <w:bookmarkEnd w:id="0"/>
      <w:r>
        <w:rPr>
          <w:rFonts w:ascii="DengXian" w:hAnsi="DengXian" w:eastAsia="DengXian"/>
          <w:sz w:val="22"/>
        </w:rPr>
        <w:object>
          <v:shape id="_x0000_i1025" o:spt="75" type="#_x0000_t75" style="height:52.05pt;width:74.85pt;" o:ole="t" filled="f" coordsize="21600,21600">
            <v:path/>
            <v:fill on="f" focussize="0,0"/>
            <v:stroke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6">
            <o:LockedField>false</o:LockedField>
          </o:OLEObject>
        </w:object>
      </w:r>
    </w:p>
    <w:tbl>
      <w:tblPr>
        <w:tblStyle w:val="9"/>
        <w:tblW w:w="10774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268"/>
        <w:gridCol w:w="1985"/>
        <w:gridCol w:w="5528"/>
      </w:tblGrid>
      <w:tr>
        <w:tc>
          <w:tcPr>
            <w:tcW w:w="993" w:type="dxa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序号</w:t>
            </w:r>
          </w:p>
        </w:tc>
        <w:tc>
          <w:tcPr>
            <w:tcW w:w="2268" w:type="dxa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参数名称</w:t>
            </w:r>
          </w:p>
        </w:tc>
        <w:tc>
          <w:tcPr>
            <w:tcW w:w="1985" w:type="dxa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参数值</w:t>
            </w:r>
          </w:p>
        </w:tc>
        <w:tc>
          <w:tcPr>
            <w:tcW w:w="5528" w:type="dxa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临床优势</w:t>
            </w:r>
          </w:p>
        </w:tc>
      </w:tr>
      <w:tr>
        <w:tc>
          <w:tcPr>
            <w:tcW w:w="993" w:type="dxa"/>
          </w:tcPr>
          <w:p>
            <w:pPr>
              <w:spacing w:before="60" w:after="60" w:line="360" w:lineRule="exact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226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孔径</w:t>
            </w:r>
          </w:p>
        </w:tc>
        <w:tc>
          <w:tcPr>
            <w:tcW w:w="1985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70cm</w:t>
            </w:r>
          </w:p>
        </w:tc>
        <w:tc>
          <w:tcPr>
            <w:tcW w:w="552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大孔径设计显著提升患者舒适度，减少幽闭恐惧感；便于肥胖患者、脊柱侧弯患者及需携带监护设备的重症患者检查；为介入操作和放疗定位提供充足空间，拓展临床应用范围</w:t>
            </w:r>
          </w:p>
        </w:tc>
      </w:tr>
      <w:tr>
        <w:tc>
          <w:tcPr>
            <w:tcW w:w="993" w:type="dxa"/>
          </w:tcPr>
          <w:p>
            <w:pPr>
              <w:spacing w:before="60" w:after="60" w:line="360" w:lineRule="exact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226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磁体长度（不含外壳）</w:t>
            </w:r>
          </w:p>
        </w:tc>
        <w:tc>
          <w:tcPr>
            <w:tcW w:w="1985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162cm</w:t>
            </w:r>
          </w:p>
        </w:tc>
        <w:tc>
          <w:tcPr>
            <w:tcW w:w="552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短磁体设计大幅降低患者头端入磁体深度，显著减轻幽闭焦虑；提升头颈、脊柱等远端部位扫描的舒适性；便于儿童及老年患者配合，减少镇静需求；短磁体结构更利于科室空间布局与设备维护</w:t>
            </w:r>
          </w:p>
        </w:tc>
      </w:tr>
      <w:tr>
        <w:tc>
          <w:tcPr>
            <w:tcW w:w="993" w:type="dxa"/>
          </w:tcPr>
          <w:p>
            <w:pPr>
              <w:spacing w:before="60" w:after="60" w:line="360" w:lineRule="exact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226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相控阵射频同时并行接收独立通道数</w:t>
            </w:r>
          </w:p>
        </w:tc>
        <w:tc>
          <w:tcPr>
            <w:tcW w:w="1985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全数字独立无限通道（</w:t>
            </w:r>
            <w:r>
              <w:rPr>
                <w:rFonts w:ascii="微软雅黑" w:hAnsi="微软雅黑" w:eastAsia="微软雅黑"/>
                <w:sz w:val="20"/>
                <w:u w:val="single"/>
              </w:rPr>
              <w:t>&gt;</w:t>
            </w:r>
            <w:r>
              <w:rPr>
                <w:rFonts w:ascii="微软雅黑" w:hAnsi="微软雅黑" w:eastAsia="微软雅黑"/>
                <w:sz w:val="20"/>
              </w:rPr>
              <w:t>256）</w:t>
            </w:r>
          </w:p>
        </w:tc>
        <w:tc>
          <w:tcPr>
            <w:tcW w:w="552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磁共振档次定位金标准，通道数越高越好。</w:t>
            </w:r>
            <w:r>
              <w:rPr>
                <w:rFonts w:ascii="微软雅黑" w:hAnsi="微软雅黑" w:eastAsia="微软雅黑"/>
                <w:sz w:val="20"/>
                <w:u w:val="single"/>
              </w:rPr>
              <w:t>&gt;</w:t>
            </w:r>
            <w:r>
              <w:rPr>
                <w:rFonts w:ascii="微软雅黑" w:hAnsi="微软雅黑" w:eastAsia="微软雅黑"/>
                <w:sz w:val="20"/>
              </w:rPr>
              <w:t>256通道实现超高并行采集加速，大幅缩短扫描时间；支持超高密度线圈，提升全身各部位信噪比与分辨率；目前科研型3.0T磁共振必须在128通道以上，是高端科研与精准临床诊断的核心硬件基础</w:t>
            </w:r>
          </w:p>
        </w:tc>
      </w:tr>
      <w:tr>
        <w:tc>
          <w:tcPr>
            <w:tcW w:w="993" w:type="dxa"/>
          </w:tcPr>
          <w:p>
            <w:pPr>
              <w:spacing w:before="60" w:after="60" w:line="360" w:lineRule="exact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226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梯度场强</w:t>
            </w:r>
          </w:p>
        </w:tc>
        <w:tc>
          <w:tcPr>
            <w:tcW w:w="1985" w:type="dxa"/>
          </w:tcPr>
          <w:p>
            <w:pPr>
              <w:spacing w:before="60" w:after="60" w:line="360" w:lineRule="exact"/>
              <w:rPr>
                <w:rFonts w:ascii="微软雅黑" w:hAnsi="微软雅黑" w:eastAsia="微软雅黑"/>
                <w:sz w:val="20"/>
              </w:rPr>
            </w:pPr>
            <w:r>
              <w:rPr>
                <w:rFonts w:hint="eastAsia" w:ascii="微软雅黑" w:hAnsi="微软雅黑" w:eastAsia="微软雅黑"/>
                <w:sz w:val="20"/>
              </w:rPr>
              <w:t>45</w:t>
            </w:r>
            <w:r>
              <w:rPr>
                <w:rFonts w:ascii="微软雅黑" w:hAnsi="微软雅黑" w:eastAsia="微软雅黑"/>
                <w:sz w:val="20"/>
              </w:rPr>
              <w:t>mT/m</w:t>
            </w:r>
          </w:p>
        </w:tc>
        <w:tc>
          <w:tcPr>
            <w:tcW w:w="5528" w:type="dxa"/>
            <w:vMerge w:val="restart"/>
          </w:tcPr>
          <w:p>
            <w:pPr>
              <w:rPr>
                <w:rFonts w:ascii="微软雅黑" w:hAnsi="微软雅黑" w:eastAsia="微软雅黑"/>
                <w:sz w:val="20"/>
              </w:rPr>
            </w:pPr>
            <w:r>
              <w:rPr>
                <w:rFonts w:hint="eastAsia" w:ascii="微软雅黑" w:hAnsi="微软雅黑" w:eastAsia="微软雅黑"/>
                <w:sz w:val="20"/>
              </w:rPr>
              <w:t>零涡流梯度系统，</w:t>
            </w:r>
            <w:r>
              <w:rPr>
                <w:rFonts w:ascii="微软雅黑" w:hAnsi="微软雅黑" w:eastAsia="微软雅黑"/>
                <w:sz w:val="20"/>
              </w:rPr>
              <w:t>满足神经、肿瘤、心脏等学科的精准诊断需求</w:t>
            </w:r>
            <w:r>
              <w:rPr>
                <w:rFonts w:hint="eastAsia" w:ascii="微软雅黑" w:hAnsi="微软雅黑" w:eastAsia="微软雅黑"/>
                <w:sz w:val="20"/>
              </w:rPr>
              <w:t>。</w:t>
            </w:r>
            <w:r>
              <w:rPr>
                <w:rFonts w:ascii="微软雅黑" w:hAnsi="微软雅黑" w:eastAsia="微软雅黑"/>
                <w:sz w:val="20"/>
              </w:rPr>
              <w:t>光影零涡流梯度拥有业界最高的梯度线性度，从而为大范围成像、偏中心成像提供了强大的硬件保障。相比传统梯度，光影零涡流梯度实现了信噪比40%的提升，前所未有地实现了更高清的弥散成像。</w:t>
            </w:r>
          </w:p>
        </w:tc>
      </w:tr>
      <w:tr>
        <w:tc>
          <w:tcPr>
            <w:tcW w:w="993" w:type="dxa"/>
          </w:tcPr>
          <w:p>
            <w:pPr>
              <w:spacing w:before="60" w:after="60" w:line="360" w:lineRule="exact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226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梯度切换率</w:t>
            </w:r>
          </w:p>
        </w:tc>
        <w:tc>
          <w:tcPr>
            <w:tcW w:w="1985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2</w:t>
            </w:r>
            <w:r>
              <w:rPr>
                <w:rFonts w:hint="eastAsia" w:ascii="微软雅黑" w:hAnsi="微软雅黑" w:eastAsia="微软雅黑"/>
                <w:sz w:val="20"/>
              </w:rPr>
              <w:t>0</w:t>
            </w:r>
            <w:r>
              <w:rPr>
                <w:rFonts w:ascii="微软雅黑" w:hAnsi="微软雅黑" w:eastAsia="微软雅黑"/>
                <w:sz w:val="20"/>
              </w:rPr>
              <w:t>0T/m/s</w:t>
            </w:r>
          </w:p>
        </w:tc>
        <w:tc>
          <w:tcPr>
            <w:tcW w:w="5528" w:type="dxa"/>
            <w:vMerge w:val="continue"/>
          </w:tcPr>
          <w:p>
            <w:pPr>
              <w:spacing w:before="60" w:after="60" w:line="360" w:lineRule="exact"/>
            </w:pPr>
          </w:p>
        </w:tc>
      </w:tr>
      <w:tr>
        <w:tc>
          <w:tcPr>
            <w:tcW w:w="993" w:type="dxa"/>
          </w:tcPr>
          <w:p>
            <w:pPr>
              <w:spacing w:before="60" w:after="60" w:line="360" w:lineRule="exact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226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射频源个数</w:t>
            </w:r>
          </w:p>
        </w:tc>
        <w:tc>
          <w:tcPr>
            <w:tcW w:w="1985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2个</w:t>
            </w:r>
          </w:p>
        </w:tc>
        <w:tc>
          <w:tcPr>
            <w:tcW w:w="5528" w:type="dxa"/>
            <w:vMerge w:val="restart"/>
          </w:tcPr>
          <w:p>
            <w:pPr>
              <w:spacing w:before="60" w:after="60" w:line="360" w:lineRule="exact"/>
              <w:rPr>
                <w:rFonts w:ascii="微软雅黑" w:hAnsi="微软雅黑" w:eastAsia="微软雅黑"/>
                <w:sz w:val="20"/>
              </w:rPr>
            </w:pPr>
            <w:r>
              <w:rPr>
                <w:rFonts w:hint="eastAsia" w:ascii="微软雅黑" w:hAnsi="微软雅黑" w:eastAsia="微软雅黑"/>
                <w:sz w:val="20"/>
              </w:rPr>
              <w:t>两个独立射频源可同时工作，实时个性化调节射频场，改善体部心脏图像，是超高场3T必备。</w:t>
            </w:r>
          </w:p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搭载了独有的MultiTransmit 4D四维多源发射技术，不仅是真正的多源射频发射技术，显著提升图像质量及扫描的安全性，而且能实现运动器官成像的动态射频调节，将3.0T运动器官（如心脏成像）带入全新时代。</w:t>
            </w:r>
          </w:p>
        </w:tc>
      </w:tr>
      <w:tr>
        <w:tc>
          <w:tcPr>
            <w:tcW w:w="993" w:type="dxa"/>
          </w:tcPr>
          <w:p>
            <w:pPr>
              <w:spacing w:before="60" w:after="60" w:line="360" w:lineRule="exact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226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射频放大器个数</w:t>
            </w:r>
          </w:p>
        </w:tc>
        <w:tc>
          <w:tcPr>
            <w:tcW w:w="1985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2个</w:t>
            </w:r>
          </w:p>
        </w:tc>
        <w:tc>
          <w:tcPr>
            <w:tcW w:w="5528" w:type="dxa"/>
            <w:vMerge w:val="continue"/>
          </w:tcPr>
          <w:p>
            <w:pPr>
              <w:spacing w:before="60" w:after="60" w:line="360" w:lineRule="exact"/>
            </w:pPr>
          </w:p>
        </w:tc>
      </w:tr>
      <w:tr>
        <w:tc>
          <w:tcPr>
            <w:tcW w:w="993" w:type="dxa"/>
          </w:tcPr>
          <w:p>
            <w:pPr>
              <w:spacing w:before="60" w:after="60" w:line="360" w:lineRule="exact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2268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射频最大功率</w:t>
            </w:r>
          </w:p>
        </w:tc>
        <w:tc>
          <w:tcPr>
            <w:tcW w:w="1985" w:type="dxa"/>
          </w:tcPr>
          <w:p>
            <w:pPr>
              <w:spacing w:before="60" w:after="60" w:line="360" w:lineRule="exact"/>
            </w:pPr>
            <w:r>
              <w:rPr>
                <w:rFonts w:ascii="微软雅黑" w:hAnsi="微软雅黑" w:eastAsia="微软雅黑"/>
                <w:sz w:val="20"/>
              </w:rPr>
              <w:t>2×</w:t>
            </w:r>
            <w:r>
              <w:rPr>
                <w:rFonts w:hint="eastAsia" w:ascii="微软雅黑" w:hAnsi="微软雅黑" w:eastAsia="微软雅黑"/>
                <w:sz w:val="20"/>
              </w:rPr>
              <w:t>18</w:t>
            </w:r>
            <w:r>
              <w:rPr>
                <w:rFonts w:ascii="微软雅黑" w:hAnsi="微软雅黑" w:eastAsia="微软雅黑"/>
                <w:sz w:val="20"/>
              </w:rPr>
              <w:t>KW</w:t>
            </w:r>
          </w:p>
        </w:tc>
        <w:tc>
          <w:tcPr>
            <w:tcW w:w="5528" w:type="dxa"/>
            <w:vMerge w:val="continue"/>
          </w:tcPr>
          <w:p>
            <w:pPr>
              <w:spacing w:before="60" w:after="60" w:line="360" w:lineRule="exact"/>
            </w:pPr>
          </w:p>
        </w:tc>
      </w:tr>
    </w:tbl>
    <w:p>
      <w:pPr>
        <w:widowControl/>
        <w:jc w:val="left"/>
        <w:rPr>
          <w:rFonts w:ascii="DengXian" w:hAnsi="DengXian" w:eastAsia="DengXian"/>
          <w:sz w:val="22"/>
        </w:rPr>
      </w:pPr>
    </w:p>
    <w:p>
      <w:pPr>
        <w:pStyle w:val="10"/>
        <w:widowControl/>
        <w:numPr>
          <w:ilvl w:val="0"/>
          <w:numId w:val="1"/>
        </w:numPr>
        <w:ind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临床效果：</w:t>
      </w:r>
    </w:p>
    <w:p>
      <w:pPr>
        <w:widowControl/>
        <w:spacing w:line="360" w:lineRule="auto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基于dStream全数字无限通道射频系统、</w:t>
      </w:r>
      <w:r>
        <w:rPr>
          <w:rFonts w:ascii="DengXian" w:hAnsi="DengXian" w:eastAsia="DengXian"/>
          <w:sz w:val="22"/>
        </w:rPr>
        <w:t>革新的零涡流梯度</w:t>
      </w:r>
      <w:r>
        <w:rPr>
          <w:rFonts w:hint="eastAsia" w:ascii="DengXian" w:hAnsi="DengXian" w:eastAsia="DengXian"/>
          <w:sz w:val="22"/>
        </w:rPr>
        <w:t>系统、精准双源射频系统、短轻磁体大孔径平台、高阶匀场等超高硬件基础，再搭载2D/3D压缩感知平台，可实现临床科研的极限突破：最高25000b值弥散、最高1024方向的DTI成像、最快18秒不打药冠脉成像、3DAPT酰胺质子转移成像等等突破。</w:t>
      </w:r>
    </w:p>
    <w:p>
      <w:pPr>
        <w:widowControl/>
        <w:spacing w:line="360" w:lineRule="auto"/>
        <w:jc w:val="left"/>
        <w:rPr>
          <w:rFonts w:ascii="DengXian" w:hAnsi="DengXian" w:eastAsia="DengXian"/>
          <w:color w:val="FF0000"/>
          <w:sz w:val="22"/>
        </w:rPr>
      </w:pPr>
    </w:p>
    <w:p>
      <w:pPr>
        <w:pStyle w:val="10"/>
        <w:widowControl/>
        <w:numPr>
          <w:ilvl w:val="0"/>
          <w:numId w:val="1"/>
        </w:numPr>
        <w:ind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经济学价值：</w:t>
      </w:r>
    </w:p>
    <w:p>
      <w:pPr>
        <w:widowControl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1.使用年限：10年</w:t>
      </w:r>
    </w:p>
    <w:p>
      <w:pPr>
        <w:widowControl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2.仪器设备的检测项目工作量及收费标准：</w:t>
      </w:r>
    </w:p>
    <w:p>
      <w:pPr>
        <w:widowControl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项目名称：磁共振扫描</w:t>
      </w:r>
    </w:p>
    <w:p>
      <w:pPr>
        <w:widowControl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每月工作量：2400人（80x30）</w:t>
      </w:r>
    </w:p>
    <w:p>
      <w:pPr>
        <w:widowControl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每个人次扫描所需平均时间：9分钟</w:t>
      </w:r>
    </w:p>
    <w:p>
      <w:pPr>
        <w:widowControl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 xml:space="preserve">收费标准：430元/人     </w:t>
      </w:r>
    </w:p>
    <w:p>
      <w:pPr>
        <w:widowControl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3.年经济收入：约1240万元</w:t>
      </w:r>
    </w:p>
    <w:p>
      <w:pPr>
        <w:widowControl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4.年维修费用估计：120万元</w:t>
      </w:r>
    </w:p>
    <w:p>
      <w:pPr>
        <w:pStyle w:val="10"/>
        <w:widowControl/>
        <w:ind w:left="440" w:firstLine="0" w:firstLineChars="0"/>
        <w:jc w:val="left"/>
        <w:rPr>
          <w:rFonts w:ascii="DengXian" w:hAnsi="DengXian" w:eastAsia="DengXian"/>
          <w:sz w:val="22"/>
        </w:rPr>
      </w:pPr>
    </w:p>
    <w:p>
      <w:pPr>
        <w:pStyle w:val="10"/>
        <w:widowControl/>
        <w:ind w:left="440" w:firstLine="0" w:firstLineChars="0"/>
        <w:jc w:val="left"/>
        <w:rPr>
          <w:rFonts w:ascii="DengXian" w:hAnsi="DengXian" w:eastAsia="DengXian"/>
          <w:sz w:val="22"/>
        </w:rPr>
      </w:pPr>
    </w:p>
    <w:p>
      <w:pPr>
        <w:pStyle w:val="10"/>
        <w:widowControl/>
        <w:ind w:left="440" w:firstLine="0" w:firstLineChars="0"/>
        <w:jc w:val="left"/>
        <w:rPr>
          <w:rFonts w:ascii="DengXian" w:hAnsi="DengXian" w:eastAsia="DengXian"/>
          <w:sz w:val="22"/>
        </w:rPr>
      </w:pPr>
    </w:p>
    <w:p>
      <w:pPr>
        <w:pStyle w:val="10"/>
        <w:widowControl/>
        <w:ind w:left="440" w:firstLine="0" w:firstLineChars="0"/>
        <w:jc w:val="left"/>
        <w:rPr>
          <w:rFonts w:ascii="DengXian" w:hAnsi="DengXian" w:eastAsia="DengXian"/>
          <w:sz w:val="22"/>
        </w:rPr>
      </w:pPr>
    </w:p>
    <w:p>
      <w:pPr>
        <w:pStyle w:val="10"/>
        <w:widowControl/>
        <w:ind w:firstLine="0" w:firstLineChars="0"/>
        <w:jc w:val="left"/>
        <w:rPr>
          <w:rFonts w:ascii="DengXian" w:hAnsi="DengXian" w:eastAsia="DengXian"/>
          <w:sz w:val="22"/>
        </w:rPr>
      </w:pPr>
    </w:p>
    <w:p>
      <w:pPr>
        <w:pStyle w:val="10"/>
        <w:widowControl/>
        <w:ind w:firstLine="0" w:firstLineChars="0"/>
        <w:jc w:val="left"/>
        <w:rPr>
          <w:rFonts w:ascii="DengXian" w:hAnsi="DengXian" w:eastAsia="DengXian"/>
          <w:sz w:val="22"/>
        </w:rPr>
      </w:pPr>
    </w:p>
    <w:p>
      <w:pPr>
        <w:pStyle w:val="10"/>
        <w:widowControl/>
        <w:ind w:firstLine="0" w:firstLineChars="0"/>
        <w:jc w:val="left"/>
        <w:rPr>
          <w:rFonts w:ascii="DengXian" w:hAnsi="DengXian" w:eastAsia="DengXian"/>
          <w:sz w:val="22"/>
        </w:rPr>
      </w:pPr>
    </w:p>
    <w:p>
      <w:pPr>
        <w:pStyle w:val="10"/>
        <w:widowControl/>
        <w:numPr>
          <w:ilvl w:val="0"/>
          <w:numId w:val="1"/>
        </w:numPr>
        <w:ind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参数对比表：</w:t>
      </w:r>
      <w:r>
        <w:rPr>
          <w:rFonts w:ascii="DengXian" w:hAnsi="DengXian" w:eastAsia="DengXian"/>
          <w:sz w:val="22"/>
        </w:rPr>
        <w:t xml:space="preserve"> </w:t>
      </w:r>
    </w:p>
    <w:p>
      <w:pPr>
        <w:widowControl/>
        <w:jc w:val="left"/>
        <w:rPr>
          <w:rFonts w:ascii="DengXian" w:hAnsi="DengXian" w:eastAsia="DengXian"/>
          <w:sz w:val="22"/>
        </w:rPr>
      </w:pPr>
      <w:r>
        <w:drawing>
          <wp:inline distT="0" distB="0" distL="0" distR="0">
            <wp:extent cx="5274310" cy="4074160"/>
            <wp:effectExtent l="0" t="0" r="2540" b="2540"/>
            <wp:docPr id="12511592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59267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DengXian" w:hAnsi="DengXian" w:eastAsia="DengXian"/>
          <w:sz w:val="22"/>
        </w:rPr>
      </w:pPr>
      <w:r>
        <w:drawing>
          <wp:inline distT="0" distB="0" distL="0" distR="0">
            <wp:extent cx="5274310" cy="4074160"/>
            <wp:effectExtent l="0" t="0" r="2540" b="2540"/>
            <wp:docPr id="20551003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00335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b/>
          <w:bCs/>
          <w:sz w:val="22"/>
        </w:rPr>
      </w:pPr>
      <w:r>
        <w:drawing>
          <wp:inline distT="0" distB="0" distL="0" distR="0">
            <wp:extent cx="5274310" cy="4074160"/>
            <wp:effectExtent l="0" t="0" r="2540" b="2540"/>
            <wp:docPr id="19014249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498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drawing>
          <wp:inline distT="0" distB="0" distL="0" distR="0">
            <wp:extent cx="5274310" cy="4074160"/>
            <wp:effectExtent l="0" t="0" r="2540" b="2540"/>
            <wp:docPr id="17586306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30657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</w:pPr>
    </w:p>
    <w:p>
      <w:pPr>
        <w:widowControl/>
        <w:jc w:val="left"/>
      </w:pPr>
      <w:r>
        <w:drawing>
          <wp:inline distT="0" distB="0" distL="0" distR="0">
            <wp:extent cx="5274310" cy="4074160"/>
            <wp:effectExtent l="0" t="0" r="2540" b="2540"/>
            <wp:docPr id="17963092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09268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drawing>
          <wp:inline distT="0" distB="0" distL="0" distR="0">
            <wp:extent cx="5274310" cy="4074160"/>
            <wp:effectExtent l="0" t="0" r="2540" b="2540"/>
            <wp:docPr id="1451662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286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</w:p>
    <w:p>
      <w:pPr>
        <w:widowControl/>
        <w:jc w:val="left"/>
      </w:pPr>
      <w:r>
        <w:drawing>
          <wp:inline distT="0" distB="0" distL="0" distR="0">
            <wp:extent cx="5274310" cy="4074160"/>
            <wp:effectExtent l="0" t="0" r="2540" b="2540"/>
            <wp:docPr id="17108739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73988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drawing>
          <wp:inline distT="0" distB="0" distL="0" distR="0">
            <wp:extent cx="5274310" cy="4074160"/>
            <wp:effectExtent l="0" t="0" r="2540" b="2540"/>
            <wp:docPr id="8736150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5061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br w:type="page"/>
      </w:r>
    </w:p>
    <w:p>
      <w:pPr>
        <w:pStyle w:val="10"/>
        <w:widowControl/>
        <w:numPr>
          <w:ilvl w:val="0"/>
          <w:numId w:val="1"/>
        </w:numPr>
        <w:ind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注册证</w:t>
      </w:r>
    </w:p>
    <w:p>
      <w:pPr>
        <w:widowControl/>
        <w:jc w:val="left"/>
      </w:pPr>
      <w:r>
        <w:drawing>
          <wp:inline distT="0" distB="0" distL="0" distR="0">
            <wp:extent cx="5636260" cy="81184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811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0"/>
        <w:gridCol w:w="3402"/>
      </w:tblGrid>
      <w:tr>
        <w:tc>
          <w:tcPr>
            <w:tcW w:w="5240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飞利浦Elition光影磁共振</w:t>
            </w:r>
          </w:p>
        </w:tc>
        <w:tc>
          <w:tcPr>
            <w:tcW w:w="3402" w:type="dxa"/>
          </w:tcPr>
          <w:p/>
        </w:tc>
      </w:tr>
      <w:tr>
        <w:tc>
          <w:tcPr>
            <w:tcW w:w="5240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主要特点：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</w:pPr>
            <w:r>
              <w:rPr>
                <w:b/>
                <w:bCs/>
              </w:rPr>
              <w:t>零涡流梯度系统：重新定义梯度性能</w:t>
            </w:r>
            <w:r>
              <w:t xml:space="preserve"> </w:t>
            </w:r>
          </w:p>
          <w:p>
            <w:r>
              <w:t>采用传承于荷兰ASML光刻机的高精度水刀切割工艺，以反应堆级无氧黄金铜材质配合基底冷却技术，实现分割精度＜0.1mm（传统梯度100倍提升）。彻底消除涡流伪影，信噪比提升40%，同时具备业界最高的梯度线性度，为大范围成像和偏中心成像提供硬件保障，实现更高清的</w:t>
            </w:r>
            <w:r>
              <w:rPr>
                <w:rFonts w:hint="eastAsia"/>
              </w:rPr>
              <w:t>神经弥散和体部</w:t>
            </w:r>
            <w:r>
              <w:t>成像。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</w:pPr>
            <w:r>
              <w:rPr>
                <w:b/>
                <w:bCs/>
              </w:rPr>
              <w:t>MultiTransmit 4D四维多源发射技术</w:t>
            </w:r>
            <w:r>
              <w:t xml:space="preserve"> </w:t>
            </w:r>
          </w:p>
          <w:p>
            <w:r>
              <w:t>作为超高端3T必备技术，采用2个独立射频放大器实现14个维度动态自由调节，根本消除高场磁共振介电阴影，有效降低局部SAR值。相比西门子Vida（标配单源/选配双源）和GE Premier，飞利浦独有的实时动态双射频源调节技术显著提升脂肪抑制效果、信噪比与对比度，特别有利于心脏等运动器官成像及偏中心部位扫描。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</w:pPr>
            <w:r>
              <w:rPr>
                <w:b/>
                <w:bCs/>
              </w:rPr>
              <w:t>dStream全数字平台：无限射频接收通道</w:t>
            </w:r>
            <w:r>
              <w:t xml:space="preserve"> </w:t>
            </w:r>
          </w:p>
          <w:p>
            <w:r>
              <w:t>搭载独有的全数字射频接收技术，摆脱主机通道数限制，实现无限通道独立接收能力。无需任何硬件升级即可任意连接高通道数线圈，为未来临床与科研拓展提供无限平台，相比西门子Vida（标配64/选配128通道）和GE Premier（146通道）具备更高的可拓展性。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</w:pPr>
            <w:r>
              <w:rPr>
                <w:b/>
                <w:bCs/>
              </w:rPr>
              <w:t>1分钟极速精准成像：三大临床诊疗新模式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b/>
                <w:bCs/>
              </w:rPr>
              <w:t>脑卒中</w:t>
            </w:r>
            <w:r>
              <w:t>：36秒完成10000 b值超高b值弥散成像，1分钟超快速卒中方案；独有3D APT酰胺质子转移成像技术（已获FDA及NMPA双认证，2024年11月纳入国家医保单独收费）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b/>
                <w:bCs/>
              </w:rPr>
              <w:t>肿瘤筛查</w:t>
            </w:r>
            <w:r>
              <w:t>：</w:t>
            </w:r>
            <w:r>
              <w:rPr>
                <w:rFonts w:hint="eastAsia"/>
              </w:rPr>
              <w:t>独家冠状位</w:t>
            </w:r>
            <w:r>
              <w:t>类PET每站＜20秒，5个腹部序列仅需1分14秒；APT技术实现肿瘤分子代谢成像，精准分级与疗效评价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b/>
                <w:bCs/>
              </w:rPr>
              <w:t>无创冠脉</w:t>
            </w:r>
            <w:r>
              <w:rPr>
                <w:rFonts w:hint="eastAsia"/>
                <w:b/>
                <w:bCs/>
              </w:rPr>
              <w:t>（独家）</w:t>
            </w:r>
            <w:r>
              <w:t>：全心冠脉扫描缩短至1分钟内，心脏整体方案从50分钟降至25分钟；2021年中放冠脉专家共识基于飞利浦平台制定，2024年11月冠脉成像纳入医保单独收费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</w:pPr>
            <w:r>
              <w:rPr>
                <w:b/>
                <w:bCs/>
              </w:rPr>
              <w:t>1分钟智能感知工作流</w:t>
            </w:r>
            <w:r>
              <w:t xml:space="preserve"> </w:t>
            </w:r>
          </w:p>
          <w:p>
            <w:r>
              <w:t>搭载AI智能平台，通过磁体旁智能交互系统实现无激光灯精准摆位，1分钟内完成患者定位至扫描启动。后续流程全自动完成：解剖识别、定位规划、参数调整、语音提醒、图像重建及后处理。该工作流荣获2021年德国IF设计奖、红点设计奖及2020年伦敦设计大奖金奖，显著提升操作效率与患者流通量。</w:t>
            </w:r>
          </w:p>
          <w:p/>
        </w:tc>
        <w:tc>
          <w:tcPr>
            <w:tcW w:w="3402" w:type="dxa"/>
          </w:tcPr>
          <w:p>
            <w:r>
              <w:drawing>
                <wp:inline distT="0" distB="0" distL="0" distR="0">
                  <wp:extent cx="2023110" cy="1504315"/>
                  <wp:effectExtent l="0" t="0" r="0" b="635"/>
                  <wp:docPr id="6" name="内容占位符 5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内容占位符 5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269" cy="150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right="420"/>
            </w:pPr>
          </w:p>
          <w:p>
            <w:pPr>
              <w:ind w:right="420"/>
            </w:pPr>
            <w:r>
              <w:rPr>
                <w:rFonts w:hint="eastAsia"/>
                <w:b/>
                <w:bCs/>
              </w:rPr>
              <w:t>产品名称：Ingenia Elition S</w:t>
            </w:r>
          </w:p>
          <w:p>
            <w:pPr>
              <w:ind w:righ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拿证时间：2022年12月</w:t>
            </w:r>
          </w:p>
          <w:p>
            <w:pPr>
              <w:ind w:right="420"/>
            </w:pPr>
          </w:p>
          <w:p>
            <w:pPr>
              <w:ind w:right="420"/>
            </w:pPr>
          </w:p>
        </w:tc>
      </w:tr>
      <w:tr>
        <w:tc>
          <w:tcPr>
            <w:tcW w:w="8642" w:type="dxa"/>
            <w:gridSpan w:val="2"/>
          </w:tcPr>
          <w:p>
            <w:pPr>
              <w:spacing w:line="240" w:lineRule="auto"/>
            </w:pPr>
            <w:r>
              <w:rPr>
                <w:rFonts w:hint="eastAsia"/>
              </w:rPr>
              <w:t>较同类产品优势</w:t>
            </w:r>
          </w:p>
          <w:p>
            <w:pPr>
              <w:spacing w:line="240" w:lineRule="auto"/>
            </w:pPr>
            <w:r>
              <w:rPr>
                <w:rFonts w:hint="eastAsia"/>
              </w:rPr>
              <w:t>飞利浦Elition光影与西门子大Vida XT、GE Premier、联影Omega处于同一档次</w:t>
            </w:r>
          </w:p>
          <w:p>
            <w:pPr>
              <w:pStyle w:val="10"/>
              <w:numPr>
                <w:ilvl w:val="0"/>
                <w:numId w:val="4"/>
              </w:numPr>
              <w:tabs>
                <w:tab w:val="left" w:pos="720"/>
              </w:tabs>
              <w:spacing w:line="240" w:lineRule="exact"/>
              <w:ind w:left="442" w:hanging="442" w:firstLineChars="0"/>
            </w:pPr>
            <w:r>
              <w:rPr>
                <w:rFonts w:hint="eastAsia"/>
              </w:rPr>
              <w:t>这三款产品都是70厘米以上孔径，但飞利浦磁体更短、更轻，扫描体验感更舒适；</w:t>
            </w:r>
          </w:p>
          <w:p>
            <w:pPr>
              <w:pStyle w:val="10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双源射频：Elition</w:t>
            </w:r>
            <w:r>
              <w:rPr>
                <w:rFonts w:hint="eastAsia"/>
                <w:vertAlign w:val="superscript"/>
              </w:rPr>
              <w:t xml:space="preserve">  </w:t>
            </w:r>
            <w:r>
              <w:rPr>
                <w:rFonts w:hint="eastAsia"/>
              </w:rPr>
              <w:t>、Premier 和Omega具备双源发射技术，Vida真正的双源技术TrueShape是选配（区别于单源技术Trueform），易超SAR，有灼伤风险和干扰工作进度；</w:t>
            </w:r>
            <w:r>
              <w:t>相比西门子Vida（标配单源/选配双源）和GE Premier，飞利浦独有的实时动态双射频源调节技术显著提升脂肪抑制效果、信噪比与对比度，特别有利于心脏等运动器官成像及偏中心部位扫描。</w:t>
            </w:r>
          </w:p>
          <w:p>
            <w:pPr>
              <w:pStyle w:val="10"/>
              <w:numPr>
                <w:ilvl w:val="0"/>
                <w:numId w:val="4"/>
              </w:numPr>
              <w:spacing w:line="240" w:lineRule="exact"/>
              <w:ind w:left="442" w:hanging="442" w:firstLineChars="0"/>
              <w:jc w:val="left"/>
            </w:pPr>
            <w:r>
              <w:rPr>
                <w:rFonts w:hint="eastAsia"/>
              </w:rPr>
              <w:t>射频接收128通道以上：飞利浦提供</w:t>
            </w:r>
            <w:r>
              <w:t>dStream全数字平台无限射频接收通道</w:t>
            </w:r>
            <w:r>
              <w:rPr>
                <w:rFonts w:hint="eastAsia"/>
              </w:rPr>
              <w:t>，</w:t>
            </w:r>
            <w:r>
              <w:t>相比西门子Vida（标配64/选配128通道）和GE Premier（146通道）具备更高的可拓展性。</w:t>
            </w:r>
          </w:p>
          <w:p>
            <w:pPr>
              <w:pStyle w:val="10"/>
              <w:numPr>
                <w:ilvl w:val="0"/>
                <w:numId w:val="4"/>
              </w:numPr>
              <w:spacing w:line="240" w:lineRule="exact"/>
              <w:ind w:left="442" w:hanging="442" w:firstLineChars="0"/>
              <w:jc w:val="left"/>
            </w:pPr>
            <w:r>
              <w:rPr>
                <w:rFonts w:hint="eastAsia"/>
              </w:rPr>
              <w:t>智能工作流：</w:t>
            </w:r>
            <w:r>
              <w:t>搭载AI智能平台，通过磁体旁智能交互系统实现无激光灯精准摆位，1分钟内完成患者定位至扫描启动。后续流程全自动完成：解剖识别、定位规划、参数调整、语音提醒、图像重建及后处理。</w:t>
            </w:r>
            <w:r>
              <w:rPr>
                <w:rFonts w:hint="eastAsia"/>
              </w:rPr>
              <w:t>其他厂家产品无；</w:t>
            </w:r>
          </w:p>
          <w:p>
            <w:pPr>
              <w:pStyle w:val="10"/>
              <w:numPr>
                <w:ilvl w:val="0"/>
                <w:numId w:val="4"/>
              </w:numPr>
              <w:spacing w:line="240" w:lineRule="exact"/>
              <w:ind w:left="442" w:hanging="442" w:firstLineChars="0"/>
              <w:jc w:val="left"/>
            </w:pPr>
            <w:r>
              <w:rPr>
                <w:rFonts w:hint="eastAsia"/>
              </w:rPr>
              <w:t>智能深度学习加速技术：飞利浦CS 2.0压缩感知技术可适用于2D/3D/4D等全成像序列，加速因子高达32倍；其他厂商加速技术如Resolve、DL、ACS等有序列限制，部分仅支持2D序列。</w:t>
            </w:r>
          </w:p>
          <w:p>
            <w:pPr>
              <w:pStyle w:val="10"/>
              <w:numPr>
                <w:ilvl w:val="0"/>
                <w:numId w:val="4"/>
              </w:numPr>
              <w:spacing w:line="240" w:lineRule="exact"/>
              <w:ind w:left="442" w:hanging="442" w:firstLineChars="0"/>
              <w:jc w:val="left"/>
            </w:pPr>
            <w:r>
              <w:rPr>
                <w:rFonts w:hint="eastAsia"/>
              </w:rPr>
              <w:t>其他高级功能：飞利浦独有3D APT（NMPA认证）、18秒不打药冠脉成像、不打药高清神经根成像等都是其他厂家不具备的。</w:t>
            </w:r>
          </w:p>
        </w:tc>
      </w:tr>
    </w:tbl>
    <w:p/>
    <w:p>
      <w:pPr>
        <w:widowControl/>
        <w:jc w:val="left"/>
      </w:pPr>
      <w:r>
        <w:br w:type="page"/>
      </w:r>
    </w:p>
    <w:p>
      <w:pPr>
        <w:pStyle w:val="10"/>
        <w:widowControl/>
        <w:numPr>
          <w:ilvl w:val="0"/>
          <w:numId w:val="1"/>
        </w:numPr>
        <w:ind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近2年同规格型号设备中标通知书或合同、发票复印件等询价证明材料</w:t>
      </w:r>
    </w:p>
    <w:p>
      <w:r>
        <w:drawing>
          <wp:inline distT="0" distB="0" distL="0" distR="0">
            <wp:extent cx="4768850" cy="5949950"/>
            <wp:effectExtent l="0" t="0" r="0" b="0"/>
            <wp:docPr id="16464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3397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59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274310" cy="4849495"/>
            <wp:effectExtent l="0" t="0" r="2540" b="8255"/>
            <wp:docPr id="10843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5803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10"/>
        <w:widowControl/>
        <w:numPr>
          <w:ilvl w:val="0"/>
          <w:numId w:val="1"/>
        </w:numPr>
        <w:ind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推荐配置：</w:t>
      </w:r>
    </w:p>
    <w:p>
      <w:pPr>
        <w:pStyle w:val="10"/>
        <w:widowControl/>
        <w:ind w:left="440" w:firstLine="0"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-3DAPT成像（代谢成像，独家NMPA获批）</w:t>
      </w:r>
    </w:p>
    <w:p>
      <w:pPr>
        <w:pStyle w:val="10"/>
        <w:widowControl/>
        <w:ind w:left="440" w:firstLine="0"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-不打药冠脉成像（独家技术）</w:t>
      </w:r>
    </w:p>
    <w:p>
      <w:pPr>
        <w:pStyle w:val="10"/>
        <w:widowControl/>
        <w:ind w:left="440" w:firstLine="0"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-无创心肌定量成像（T1/T2/T2*mapping）</w:t>
      </w:r>
    </w:p>
    <w:p>
      <w:pPr>
        <w:pStyle w:val="10"/>
        <w:widowControl/>
        <w:ind w:left="440" w:firstLine="0"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-压缩感知2D/3D成像加速技术</w:t>
      </w:r>
    </w:p>
    <w:p>
      <w:pPr>
        <w:pStyle w:val="10"/>
        <w:widowControl/>
        <w:ind w:left="440" w:firstLine="0" w:firstLineChars="0"/>
        <w:jc w:val="left"/>
        <w:rPr>
          <w:rFonts w:ascii="DengXian" w:hAnsi="DengXian" w:eastAsia="DengXian"/>
          <w:sz w:val="22"/>
        </w:rPr>
      </w:pPr>
      <w:r>
        <w:rPr>
          <w:rFonts w:hint="eastAsia" w:ascii="DengXian" w:hAnsi="DengXian" w:eastAsia="DengXian"/>
          <w:sz w:val="22"/>
        </w:rPr>
        <w:t>-Multitransmit4D多源射频发射技术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Zhongsong">
    <w:altName w:val="苹方-简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150D430C"/>
    <w:multiLevelType w:val="multilevel"/>
    <w:tmpl w:val="150D430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12C32F7"/>
    <w:multiLevelType w:val="multilevel"/>
    <w:tmpl w:val="312C32F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063283F"/>
    <w:multiLevelType w:val="multilevel"/>
    <w:tmpl w:val="506328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3DF3820"/>
    <w:multiLevelType w:val="multilevel"/>
    <w:tmpl w:val="63DF3820"/>
    <w:lvl w:ilvl="0" w:tentative="0">
      <w:start w:val="1"/>
      <w:numFmt w:val="bullet"/>
      <w:lvlText w:val=""/>
      <w:lvlPicBulletId w:val="0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12A"/>
    <w:rsid w:val="00000F38"/>
    <w:rsid w:val="00006E74"/>
    <w:rsid w:val="00032F32"/>
    <w:rsid w:val="00042D69"/>
    <w:rsid w:val="00043F03"/>
    <w:rsid w:val="00053009"/>
    <w:rsid w:val="000579E8"/>
    <w:rsid w:val="00057BF7"/>
    <w:rsid w:val="00057FD2"/>
    <w:rsid w:val="00081B0D"/>
    <w:rsid w:val="00086D99"/>
    <w:rsid w:val="00091771"/>
    <w:rsid w:val="00097478"/>
    <w:rsid w:val="000A5F11"/>
    <w:rsid w:val="000E74AD"/>
    <w:rsid w:val="000E763E"/>
    <w:rsid w:val="000F265B"/>
    <w:rsid w:val="000F2FB6"/>
    <w:rsid w:val="000F5117"/>
    <w:rsid w:val="0011211A"/>
    <w:rsid w:val="0011406D"/>
    <w:rsid w:val="0012012A"/>
    <w:rsid w:val="00135413"/>
    <w:rsid w:val="0014310C"/>
    <w:rsid w:val="00144873"/>
    <w:rsid w:val="00170345"/>
    <w:rsid w:val="001858CE"/>
    <w:rsid w:val="001B0499"/>
    <w:rsid w:val="001C60A1"/>
    <w:rsid w:val="001E50BD"/>
    <w:rsid w:val="001E6FC4"/>
    <w:rsid w:val="00205156"/>
    <w:rsid w:val="0023486F"/>
    <w:rsid w:val="002435AE"/>
    <w:rsid w:val="00267E67"/>
    <w:rsid w:val="002705D1"/>
    <w:rsid w:val="00291D46"/>
    <w:rsid w:val="002A7096"/>
    <w:rsid w:val="002B6A55"/>
    <w:rsid w:val="002D056D"/>
    <w:rsid w:val="002E2885"/>
    <w:rsid w:val="00300349"/>
    <w:rsid w:val="00300AE3"/>
    <w:rsid w:val="00315D19"/>
    <w:rsid w:val="00321B4E"/>
    <w:rsid w:val="00325D47"/>
    <w:rsid w:val="00331269"/>
    <w:rsid w:val="0033430B"/>
    <w:rsid w:val="003409AE"/>
    <w:rsid w:val="0034479E"/>
    <w:rsid w:val="00350576"/>
    <w:rsid w:val="003A2B59"/>
    <w:rsid w:val="003A5D6C"/>
    <w:rsid w:val="003B279B"/>
    <w:rsid w:val="003C1C4A"/>
    <w:rsid w:val="003D133A"/>
    <w:rsid w:val="003E513A"/>
    <w:rsid w:val="0040393E"/>
    <w:rsid w:val="004043FB"/>
    <w:rsid w:val="00407D1C"/>
    <w:rsid w:val="00414A40"/>
    <w:rsid w:val="00416DF2"/>
    <w:rsid w:val="00453D92"/>
    <w:rsid w:val="0045468F"/>
    <w:rsid w:val="00467141"/>
    <w:rsid w:val="0049571F"/>
    <w:rsid w:val="00495B82"/>
    <w:rsid w:val="004A4CE1"/>
    <w:rsid w:val="004C12E6"/>
    <w:rsid w:val="004C7156"/>
    <w:rsid w:val="004D55AD"/>
    <w:rsid w:val="004E10FB"/>
    <w:rsid w:val="00517143"/>
    <w:rsid w:val="00517EA1"/>
    <w:rsid w:val="00537D59"/>
    <w:rsid w:val="00541D02"/>
    <w:rsid w:val="00543CD0"/>
    <w:rsid w:val="00551965"/>
    <w:rsid w:val="005601C8"/>
    <w:rsid w:val="00565C98"/>
    <w:rsid w:val="005B0FF6"/>
    <w:rsid w:val="005E2D22"/>
    <w:rsid w:val="005E684C"/>
    <w:rsid w:val="006025A6"/>
    <w:rsid w:val="00602B53"/>
    <w:rsid w:val="00603111"/>
    <w:rsid w:val="00610069"/>
    <w:rsid w:val="00615E3B"/>
    <w:rsid w:val="00634AD9"/>
    <w:rsid w:val="00640C38"/>
    <w:rsid w:val="00677B4B"/>
    <w:rsid w:val="0068544A"/>
    <w:rsid w:val="00691DC2"/>
    <w:rsid w:val="006B56C4"/>
    <w:rsid w:val="006C4F95"/>
    <w:rsid w:val="00716FE5"/>
    <w:rsid w:val="00717CD7"/>
    <w:rsid w:val="00723A4E"/>
    <w:rsid w:val="007256C5"/>
    <w:rsid w:val="00745260"/>
    <w:rsid w:val="0076737E"/>
    <w:rsid w:val="007732AE"/>
    <w:rsid w:val="00784F6B"/>
    <w:rsid w:val="0078571B"/>
    <w:rsid w:val="007A0107"/>
    <w:rsid w:val="007C3195"/>
    <w:rsid w:val="007D0AD9"/>
    <w:rsid w:val="007D60FE"/>
    <w:rsid w:val="008025CF"/>
    <w:rsid w:val="0081390B"/>
    <w:rsid w:val="008359A3"/>
    <w:rsid w:val="00842B3B"/>
    <w:rsid w:val="00844F25"/>
    <w:rsid w:val="008464E2"/>
    <w:rsid w:val="00847665"/>
    <w:rsid w:val="0085385A"/>
    <w:rsid w:val="00863DA2"/>
    <w:rsid w:val="008816D1"/>
    <w:rsid w:val="008A0297"/>
    <w:rsid w:val="008A1C71"/>
    <w:rsid w:val="008A595A"/>
    <w:rsid w:val="008E15B0"/>
    <w:rsid w:val="008F0FE7"/>
    <w:rsid w:val="009026F6"/>
    <w:rsid w:val="009345E8"/>
    <w:rsid w:val="00935D99"/>
    <w:rsid w:val="00943ACF"/>
    <w:rsid w:val="0096707F"/>
    <w:rsid w:val="00984056"/>
    <w:rsid w:val="009A1B31"/>
    <w:rsid w:val="009A1FAC"/>
    <w:rsid w:val="009C00E9"/>
    <w:rsid w:val="009D0D09"/>
    <w:rsid w:val="009D0F8B"/>
    <w:rsid w:val="009F6F8E"/>
    <w:rsid w:val="00A157B9"/>
    <w:rsid w:val="00A1718C"/>
    <w:rsid w:val="00A40059"/>
    <w:rsid w:val="00A56FC4"/>
    <w:rsid w:val="00A606C6"/>
    <w:rsid w:val="00A647C0"/>
    <w:rsid w:val="00A72220"/>
    <w:rsid w:val="00A733D3"/>
    <w:rsid w:val="00A81F91"/>
    <w:rsid w:val="00A9111D"/>
    <w:rsid w:val="00AB4515"/>
    <w:rsid w:val="00AD647B"/>
    <w:rsid w:val="00AF017A"/>
    <w:rsid w:val="00B01DE1"/>
    <w:rsid w:val="00B15CA7"/>
    <w:rsid w:val="00B22768"/>
    <w:rsid w:val="00B267DC"/>
    <w:rsid w:val="00B53ABD"/>
    <w:rsid w:val="00B55F0B"/>
    <w:rsid w:val="00B66FC7"/>
    <w:rsid w:val="00B670BD"/>
    <w:rsid w:val="00B736E3"/>
    <w:rsid w:val="00B827C7"/>
    <w:rsid w:val="00BA68B3"/>
    <w:rsid w:val="00BA7C68"/>
    <w:rsid w:val="00BB02FD"/>
    <w:rsid w:val="00BC022F"/>
    <w:rsid w:val="00BC057D"/>
    <w:rsid w:val="00BC4F7C"/>
    <w:rsid w:val="00BD0FD9"/>
    <w:rsid w:val="00BD7496"/>
    <w:rsid w:val="00BE63DF"/>
    <w:rsid w:val="00C03078"/>
    <w:rsid w:val="00C04727"/>
    <w:rsid w:val="00C07EA5"/>
    <w:rsid w:val="00C25317"/>
    <w:rsid w:val="00C613BC"/>
    <w:rsid w:val="00C656A1"/>
    <w:rsid w:val="00C74B09"/>
    <w:rsid w:val="00C93353"/>
    <w:rsid w:val="00CC1F40"/>
    <w:rsid w:val="00CC46D7"/>
    <w:rsid w:val="00CD0C5B"/>
    <w:rsid w:val="00CD7076"/>
    <w:rsid w:val="00CE07B2"/>
    <w:rsid w:val="00CE0FFB"/>
    <w:rsid w:val="00CE2E1A"/>
    <w:rsid w:val="00D174CB"/>
    <w:rsid w:val="00D218A0"/>
    <w:rsid w:val="00D31832"/>
    <w:rsid w:val="00D43031"/>
    <w:rsid w:val="00D54BC6"/>
    <w:rsid w:val="00D9130C"/>
    <w:rsid w:val="00DC1313"/>
    <w:rsid w:val="00DD0959"/>
    <w:rsid w:val="00DD691A"/>
    <w:rsid w:val="00DE3BD8"/>
    <w:rsid w:val="00E04021"/>
    <w:rsid w:val="00E32172"/>
    <w:rsid w:val="00E36F1A"/>
    <w:rsid w:val="00E458A0"/>
    <w:rsid w:val="00E52DF5"/>
    <w:rsid w:val="00E636B1"/>
    <w:rsid w:val="00E6428D"/>
    <w:rsid w:val="00E73574"/>
    <w:rsid w:val="00E7669E"/>
    <w:rsid w:val="00E77506"/>
    <w:rsid w:val="00E776C9"/>
    <w:rsid w:val="00E84373"/>
    <w:rsid w:val="00EA2D6E"/>
    <w:rsid w:val="00EA416C"/>
    <w:rsid w:val="00EA67E4"/>
    <w:rsid w:val="00ED7042"/>
    <w:rsid w:val="00EE357F"/>
    <w:rsid w:val="00EF7B88"/>
    <w:rsid w:val="00EF7D0B"/>
    <w:rsid w:val="00F04CD3"/>
    <w:rsid w:val="00F15F20"/>
    <w:rsid w:val="00F45A9E"/>
    <w:rsid w:val="00F6308B"/>
    <w:rsid w:val="00F632C9"/>
    <w:rsid w:val="00F67BDA"/>
    <w:rsid w:val="00F818CE"/>
    <w:rsid w:val="00F92766"/>
    <w:rsid w:val="00FC4399"/>
    <w:rsid w:val="00FC4A56"/>
    <w:rsid w:val="00FD2B47"/>
    <w:rsid w:val="00FF2637"/>
    <w:rsid w:val="00FF404C"/>
    <w:rsid w:val="00FF621C"/>
    <w:rsid w:val="289245C9"/>
    <w:rsid w:val="29FA8E6B"/>
    <w:rsid w:val="4BBD8DC4"/>
    <w:rsid w:val="5F9E73EC"/>
    <w:rsid w:val="5FFF311F"/>
    <w:rsid w:val="7DFEDBE8"/>
    <w:rsid w:val="CFFE67E4"/>
    <w:rsid w:val="D83B053F"/>
    <w:rsid w:val="EDEA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Body Text"/>
    <w:basedOn w:val="1"/>
    <w:link w:val="16"/>
    <w:semiHidden/>
    <w:unhideWhenUsed/>
    <w:uiPriority w:val="99"/>
    <w:pPr>
      <w:spacing w:after="120"/>
    </w:p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8">
    <w:name w:val="Hyperlink"/>
    <w:basedOn w:val="2"/>
    <w:unhideWhenUsed/>
    <w:uiPriority w:val="99"/>
    <w:rPr>
      <w:color w:val="0000FF"/>
      <w:u w:val="single"/>
    </w:rPr>
  </w:style>
  <w:style w:type="table" w:styleId="9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Balloon Text Char"/>
    <w:basedOn w:val="2"/>
    <w:link w:val="4"/>
    <w:semiHidden/>
    <w:uiPriority w:val="99"/>
    <w:rPr>
      <w:sz w:val="18"/>
      <w:szCs w:val="18"/>
    </w:rPr>
  </w:style>
  <w:style w:type="paragraph" w:customStyle="1" w:styleId="12">
    <w:name w:val="Default"/>
    <w:uiPriority w:val="0"/>
    <w:pPr>
      <w:autoSpaceDE w:val="0"/>
      <w:autoSpaceDN w:val="0"/>
      <w:adjustRightInd w:val="0"/>
    </w:pPr>
    <w:rPr>
      <w:rFonts w:ascii="STZhongsong" w:eastAsia="STZhongsong" w:cs="STZhongsong" w:hAnsiTheme="minorHAnsi"/>
      <w:color w:val="000000"/>
      <w:sz w:val="24"/>
      <w:szCs w:val="24"/>
      <w:lang w:val="en-US" w:eastAsia="zh-CN" w:bidi="ar-SA"/>
    </w:rPr>
  </w:style>
  <w:style w:type="character" w:customStyle="1" w:styleId="13">
    <w:name w:val="Header Char"/>
    <w:basedOn w:val="2"/>
    <w:link w:val="7"/>
    <w:uiPriority w:val="99"/>
    <w:rPr>
      <w:kern w:val="2"/>
      <w:sz w:val="18"/>
      <w:szCs w:val="18"/>
    </w:rPr>
  </w:style>
  <w:style w:type="character" w:customStyle="1" w:styleId="14">
    <w:name w:val="Footer Char"/>
    <w:basedOn w:val="2"/>
    <w:link w:val="6"/>
    <w:uiPriority w:val="99"/>
    <w:rPr>
      <w:kern w:val="2"/>
      <w:sz w:val="18"/>
      <w:szCs w:val="18"/>
    </w:rPr>
  </w:style>
  <w:style w:type="paragraph" w:customStyle="1" w:styleId="15">
    <w:name w:val="First Paragraph"/>
    <w:basedOn w:val="5"/>
    <w:next w:val="5"/>
    <w:qFormat/>
    <w:uiPriority w:val="0"/>
    <w:pPr>
      <w:widowControl/>
      <w:spacing w:before="180" w:after="180" w:line="240" w:lineRule="auto"/>
      <w:jc w:val="left"/>
    </w:pPr>
    <w:rPr>
      <w:kern w:val="0"/>
      <w:sz w:val="24"/>
      <w:szCs w:val="24"/>
      <w:lang w:eastAsia="en-US"/>
    </w:rPr>
  </w:style>
  <w:style w:type="character" w:customStyle="1" w:styleId="16">
    <w:name w:val="Body Text Char"/>
    <w:basedOn w:val="2"/>
    <w:link w:val="5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12</Pages>
  <Words>2369</Words>
  <Characters>644</Characters>
  <Lines>5</Lines>
  <Paragraphs>6</Paragraphs>
  <TotalTime>0</TotalTime>
  <ScaleCrop>false</ScaleCrop>
  <LinksUpToDate>false</LinksUpToDate>
  <CharactersWithSpaces>3007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2026-05-01T18:00:00Z</dcterms:created>
  <dc:creator>Windows User</dc:creator>
  <cp:lastModifiedBy>爱照护 丁勇</cp:lastModifiedBy>
  <cp:lastPrinted>2020-11-18T01:42:00Z</cp:lastPrinted>
  <dcterms:modified xsi:type="dcterms:W3CDTF">2026-05-03T14:25:46Z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B1B5609CDFE319CF6AEAF669B154034D_43</vt:lpwstr>
  </property>
</Properties>
</file>