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pPr>
      <w:bookmarkStart w:id="1" w:name="_GoBack"/>
      <w:bookmarkEnd w:id="1"/>
    </w:p>
    <w:p>
      <w:pPr>
        <w:widowControl/>
        <w:jc w:val="center"/>
        <w:rPr>
          <w:sz w:val="48"/>
          <w:szCs w:val="48"/>
        </w:rPr>
      </w:pPr>
      <w:r>
        <w:rPr>
          <w:sz w:val="48"/>
          <w:szCs w:val="48"/>
        </w:rPr>
        <w:t>Philips</w:t>
      </w:r>
      <w:r>
        <w:rPr>
          <w:rFonts w:hint="eastAsia"/>
          <w:sz w:val="48"/>
          <w:szCs w:val="48"/>
        </w:rPr>
        <w:t xml:space="preserve"> Innovation AI</w:t>
      </w:r>
      <w:r>
        <w:rPr>
          <w:rFonts w:hint="eastAsia"/>
          <w:sz w:val="48"/>
          <w:szCs w:val="48"/>
          <w:vertAlign w:val="superscript"/>
        </w:rPr>
        <w:t>3</w:t>
      </w:r>
      <w:r>
        <w:rPr>
          <w:rFonts w:hint="eastAsia"/>
          <w:sz w:val="48"/>
          <w:szCs w:val="48"/>
        </w:rPr>
        <w:t>超脑平台磁共振</w:t>
      </w:r>
    </w:p>
    <w:p>
      <w:pPr>
        <w:widowControl/>
        <w:jc w:val="left"/>
      </w:pPr>
    </w:p>
    <w:tbl>
      <w:tblPr>
        <w:tblStyle w:val="3"/>
        <w:tblW w:w="11483" w:type="dxa"/>
        <w:tblInd w:w="-1565" w:type="dxa"/>
        <w:tblLayout w:type="autofit"/>
        <w:tblCellMar>
          <w:top w:w="0" w:type="dxa"/>
          <w:left w:w="108" w:type="dxa"/>
          <w:bottom w:w="0" w:type="dxa"/>
          <w:right w:w="108" w:type="dxa"/>
        </w:tblCellMar>
      </w:tblPr>
      <w:tblGrid>
        <w:gridCol w:w="1986"/>
        <w:gridCol w:w="567"/>
        <w:gridCol w:w="1417"/>
        <w:gridCol w:w="1559"/>
        <w:gridCol w:w="1701"/>
        <w:gridCol w:w="750"/>
        <w:gridCol w:w="2100"/>
        <w:gridCol w:w="1403"/>
      </w:tblGrid>
      <w:tr>
        <w:trPr>
          <w:trHeight w:val="555" w:hRule="atLeast"/>
        </w:trPr>
        <w:tc>
          <w:tcPr>
            <w:tcW w:w="1986" w:type="dxa"/>
            <w:tcBorders>
              <w:top w:val="single" w:color="auto" w:sz="4" w:space="0"/>
              <w:left w:val="single" w:color="auto" w:sz="4" w:space="0"/>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设备名称</w:t>
            </w:r>
          </w:p>
        </w:tc>
        <w:tc>
          <w:tcPr>
            <w:tcW w:w="567" w:type="dxa"/>
            <w:tcBorders>
              <w:top w:val="single" w:color="auto" w:sz="4" w:space="0"/>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数量</w:t>
            </w:r>
          </w:p>
        </w:tc>
        <w:tc>
          <w:tcPr>
            <w:tcW w:w="1417" w:type="dxa"/>
            <w:tcBorders>
              <w:top w:val="single" w:color="auto" w:sz="4" w:space="0"/>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设备报价</w:t>
            </w:r>
          </w:p>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/台(套)</w:t>
            </w:r>
          </w:p>
        </w:tc>
        <w:tc>
          <w:tcPr>
            <w:tcW w:w="1559" w:type="dxa"/>
            <w:tcBorders>
              <w:top w:val="single" w:color="auto" w:sz="4" w:space="0"/>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询价后价格</w:t>
            </w:r>
          </w:p>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/台(套)</w:t>
            </w:r>
          </w:p>
        </w:tc>
        <w:tc>
          <w:tcPr>
            <w:tcW w:w="1701" w:type="dxa"/>
            <w:tcBorders>
              <w:top w:val="single" w:color="auto" w:sz="4" w:space="0"/>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设备生产厂商全称</w:t>
            </w:r>
          </w:p>
        </w:tc>
        <w:tc>
          <w:tcPr>
            <w:tcW w:w="750" w:type="dxa"/>
            <w:tcBorders>
              <w:top w:val="single" w:color="auto" w:sz="4" w:space="0"/>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是否获授权</w:t>
            </w:r>
          </w:p>
        </w:tc>
        <w:tc>
          <w:tcPr>
            <w:tcW w:w="2100" w:type="dxa"/>
            <w:tcBorders>
              <w:top w:val="single" w:color="auto" w:sz="4" w:space="0"/>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报价厂商全称</w:t>
            </w:r>
          </w:p>
        </w:tc>
        <w:tc>
          <w:tcPr>
            <w:tcW w:w="1403" w:type="dxa"/>
            <w:tcBorders>
              <w:top w:val="single" w:color="auto" w:sz="4" w:space="0"/>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报价有效期</w:t>
            </w:r>
          </w:p>
        </w:tc>
      </w:tr>
      <w:tr>
        <w:trPr>
          <w:trHeight w:val="129" w:hRule="atLeast"/>
        </w:trPr>
        <w:tc>
          <w:tcPr>
            <w:tcW w:w="1986" w:type="dxa"/>
            <w:tcBorders>
              <w:top w:val="nil"/>
              <w:left w:val="single" w:color="auto" w:sz="4" w:space="0"/>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Innovation Ultra</w:t>
            </w:r>
          </w:p>
          <w:p>
            <w:pPr>
              <w:widowControl/>
              <w:spacing w:after="0" w:line="240" w:lineRule="auto"/>
              <w:jc w:val="center"/>
              <w:rPr>
                <w:rFonts w:hint="eastAsia" w:ascii="DengXian" w:hAnsi="DengXian" w:eastAsia="DengXian" w:cs="宋体"/>
                <w:color w:val="000000"/>
                <w:kern w:val="0"/>
                <w:sz w:val="22"/>
              </w:rPr>
            </w:pPr>
            <w:r>
              <w:rPr>
                <w:rFonts w:hint="eastAsia" w:ascii="DengXian" w:hAnsi="DengXian" w:eastAsia="DengXian" w:cs="宋体"/>
                <w:color w:val="000000"/>
                <w:kern w:val="0"/>
                <w:sz w:val="22"/>
              </w:rPr>
              <w:t>（Innovation AI</w:t>
            </w:r>
            <w:r>
              <w:rPr>
                <w:rFonts w:hint="eastAsia" w:ascii="DengXian" w:hAnsi="DengXian" w:eastAsia="DengXian" w:cs="宋体"/>
                <w:color w:val="000000"/>
                <w:kern w:val="0"/>
                <w:sz w:val="22"/>
                <w:vertAlign w:val="superscript"/>
              </w:rPr>
              <w:t>3</w:t>
            </w:r>
            <w:r>
              <w:rPr>
                <w:rFonts w:hint="eastAsia" w:ascii="DengXian" w:hAnsi="DengXian" w:eastAsia="DengXian" w:cs="宋体"/>
                <w:color w:val="000000"/>
                <w:kern w:val="0"/>
                <w:sz w:val="22"/>
              </w:rPr>
              <w:t>）</w:t>
            </w:r>
          </w:p>
        </w:tc>
        <w:tc>
          <w:tcPr>
            <w:tcW w:w="567" w:type="dxa"/>
            <w:tcBorders>
              <w:top w:val="nil"/>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1</w:t>
            </w:r>
          </w:p>
        </w:tc>
        <w:tc>
          <w:tcPr>
            <w:tcW w:w="1417" w:type="dxa"/>
            <w:tcBorders>
              <w:top w:val="nil"/>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1700万元/套</w:t>
            </w:r>
          </w:p>
        </w:tc>
        <w:tc>
          <w:tcPr>
            <w:tcW w:w="1559" w:type="dxa"/>
            <w:tcBorders>
              <w:top w:val="nil"/>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1700万元/套</w:t>
            </w:r>
          </w:p>
        </w:tc>
        <w:tc>
          <w:tcPr>
            <w:tcW w:w="1701" w:type="dxa"/>
            <w:tcBorders>
              <w:top w:val="nil"/>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飞利浦医疗（苏州）有限公司</w:t>
            </w:r>
          </w:p>
        </w:tc>
        <w:tc>
          <w:tcPr>
            <w:tcW w:w="750" w:type="dxa"/>
            <w:tcBorders>
              <w:top w:val="nil"/>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是</w:t>
            </w:r>
          </w:p>
        </w:tc>
        <w:tc>
          <w:tcPr>
            <w:tcW w:w="2100" w:type="dxa"/>
            <w:tcBorders>
              <w:top w:val="nil"/>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飞利浦（中国）投资有限公司</w:t>
            </w:r>
          </w:p>
        </w:tc>
        <w:tc>
          <w:tcPr>
            <w:tcW w:w="1403" w:type="dxa"/>
            <w:tcBorders>
              <w:top w:val="nil"/>
              <w:left w:val="nil"/>
              <w:bottom w:val="single" w:color="auto" w:sz="4" w:space="0"/>
              <w:right w:val="single" w:color="auto" w:sz="4" w:space="0"/>
            </w:tcBorders>
            <w:vAlign w:val="center"/>
          </w:tcPr>
          <w:p>
            <w:pPr>
              <w:widowControl/>
              <w:spacing w:after="0" w:line="240" w:lineRule="auto"/>
              <w:jc w:val="center"/>
              <w:rPr>
                <w:rFonts w:ascii="DengXian" w:hAnsi="DengXian" w:eastAsia="DengXian" w:cs="宋体"/>
                <w:color w:val="000000"/>
                <w:kern w:val="0"/>
                <w:sz w:val="22"/>
              </w:rPr>
            </w:pPr>
            <w:r>
              <w:rPr>
                <w:rFonts w:hint="eastAsia" w:ascii="DengXian" w:hAnsi="DengXian" w:eastAsia="DengXian" w:cs="宋体"/>
                <w:color w:val="000000"/>
                <w:kern w:val="0"/>
                <w:sz w:val="22"/>
              </w:rPr>
              <w:t>六个月</w:t>
            </w:r>
          </w:p>
        </w:tc>
      </w:tr>
    </w:tbl>
    <w:p>
      <w:pPr>
        <w:widowControl/>
        <w:jc w:val="left"/>
      </w:pPr>
    </w:p>
    <w:p>
      <w:pPr>
        <w:pStyle w:val="10"/>
        <w:widowControl/>
        <w:numPr>
          <w:ilvl w:val="0"/>
          <w:numId w:val="1"/>
        </w:numPr>
        <w:ind w:firstLineChars="0"/>
        <w:jc w:val="left"/>
        <w:rPr>
          <w:rFonts w:ascii="DengXian" w:hAnsi="DengXian" w:eastAsia="DengXian"/>
          <w:sz w:val="22"/>
        </w:rPr>
      </w:pPr>
      <w:r>
        <w:rPr>
          <w:rFonts w:hint="eastAsia" w:ascii="DengXian" w:hAnsi="DengXian" w:eastAsia="DengXian" w:cs="宋体"/>
          <w:color w:val="000000"/>
          <w:kern w:val="0"/>
          <w:sz w:val="22"/>
        </w:rPr>
        <w:t>Innovation AI</w:t>
      </w:r>
      <w:r>
        <w:rPr>
          <w:rFonts w:hint="eastAsia" w:ascii="DengXian" w:hAnsi="DengXian" w:eastAsia="DengXian" w:cs="宋体"/>
          <w:color w:val="000000"/>
          <w:kern w:val="0"/>
          <w:sz w:val="22"/>
          <w:vertAlign w:val="superscript"/>
        </w:rPr>
        <w:t>3</w:t>
      </w:r>
      <w:r>
        <w:rPr>
          <w:rFonts w:hint="eastAsia" w:ascii="DengXian" w:hAnsi="DengXian" w:eastAsia="DengXian"/>
          <w:sz w:val="22"/>
        </w:rPr>
        <w:t>技术参数：</w:t>
      </w:r>
    </w:p>
    <w:tbl>
      <w:tblPr>
        <w:tblStyle w:val="9"/>
        <w:tblW w:w="10774"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2268"/>
        <w:gridCol w:w="1985"/>
        <w:gridCol w:w="5528"/>
      </w:tblGrid>
      <w:tr>
        <w:tc>
          <w:tcPr>
            <w:tcW w:w="993" w:type="dxa"/>
            <w:shd w:val="clear" w:color="auto" w:fill="1F4E79"/>
          </w:tcPr>
          <w:p>
            <w:pPr>
              <w:jc w:val="center"/>
            </w:pPr>
            <w:r>
              <w:rPr>
                <w:rFonts w:ascii="微软雅黑" w:hAnsi="微软雅黑" w:eastAsia="微软雅黑"/>
                <w:b/>
                <w:color w:val="FFFFFF"/>
                <w:sz w:val="22"/>
              </w:rPr>
              <w:t>序号</w:t>
            </w:r>
          </w:p>
        </w:tc>
        <w:tc>
          <w:tcPr>
            <w:tcW w:w="2268" w:type="dxa"/>
            <w:shd w:val="clear" w:color="auto" w:fill="1F4E79"/>
          </w:tcPr>
          <w:p>
            <w:pPr>
              <w:jc w:val="center"/>
            </w:pPr>
            <w:r>
              <w:rPr>
                <w:rFonts w:ascii="微软雅黑" w:hAnsi="微软雅黑" w:eastAsia="微软雅黑"/>
                <w:b/>
                <w:color w:val="FFFFFF"/>
                <w:sz w:val="22"/>
              </w:rPr>
              <w:t>参数名称</w:t>
            </w:r>
          </w:p>
        </w:tc>
        <w:tc>
          <w:tcPr>
            <w:tcW w:w="1985" w:type="dxa"/>
            <w:shd w:val="clear" w:color="auto" w:fill="1F4E79"/>
          </w:tcPr>
          <w:p>
            <w:pPr>
              <w:jc w:val="center"/>
            </w:pPr>
            <w:r>
              <w:rPr>
                <w:rFonts w:ascii="微软雅黑" w:hAnsi="微软雅黑" w:eastAsia="微软雅黑"/>
                <w:b/>
                <w:color w:val="FFFFFF"/>
                <w:sz w:val="22"/>
              </w:rPr>
              <w:t>参数值</w:t>
            </w:r>
          </w:p>
        </w:tc>
        <w:tc>
          <w:tcPr>
            <w:tcW w:w="5528" w:type="dxa"/>
            <w:shd w:val="clear" w:color="auto" w:fill="1F4E79"/>
          </w:tcPr>
          <w:p>
            <w:pPr>
              <w:jc w:val="center"/>
            </w:pPr>
            <w:r>
              <w:rPr>
                <w:rFonts w:ascii="微软雅黑" w:hAnsi="微软雅黑" w:eastAsia="微软雅黑"/>
                <w:b/>
                <w:color w:val="FFFFFF"/>
                <w:sz w:val="22"/>
              </w:rPr>
              <w:t>临床优势</w:t>
            </w:r>
          </w:p>
        </w:tc>
      </w:tr>
      <w:tr>
        <w:tc>
          <w:tcPr>
            <w:tcW w:w="993" w:type="dxa"/>
          </w:tcPr>
          <w:p>
            <w:pPr>
              <w:spacing w:before="60" w:after="60" w:line="360" w:lineRule="exact"/>
              <w:jc w:val="center"/>
            </w:pPr>
            <w:r>
              <w:rPr>
                <w:rFonts w:ascii="微软雅黑" w:hAnsi="微软雅黑" w:eastAsia="微软雅黑"/>
                <w:sz w:val="20"/>
              </w:rPr>
              <w:t>1</w:t>
            </w:r>
          </w:p>
        </w:tc>
        <w:tc>
          <w:tcPr>
            <w:tcW w:w="2268" w:type="dxa"/>
          </w:tcPr>
          <w:p>
            <w:pPr>
              <w:spacing w:before="60" w:after="60" w:line="360" w:lineRule="exact"/>
            </w:pPr>
            <w:r>
              <w:rPr>
                <w:rFonts w:ascii="微软雅黑" w:hAnsi="微软雅黑" w:eastAsia="微软雅黑"/>
                <w:sz w:val="20"/>
              </w:rPr>
              <w:t>孔径</w:t>
            </w:r>
          </w:p>
        </w:tc>
        <w:tc>
          <w:tcPr>
            <w:tcW w:w="1985" w:type="dxa"/>
          </w:tcPr>
          <w:p>
            <w:pPr>
              <w:spacing w:before="60" w:after="60" w:line="360" w:lineRule="exact"/>
            </w:pPr>
            <w:r>
              <w:rPr>
                <w:rFonts w:ascii="微软雅黑" w:hAnsi="微软雅黑" w:eastAsia="微软雅黑"/>
                <w:sz w:val="20"/>
              </w:rPr>
              <w:t>70cm</w:t>
            </w:r>
          </w:p>
        </w:tc>
        <w:tc>
          <w:tcPr>
            <w:tcW w:w="5528" w:type="dxa"/>
          </w:tcPr>
          <w:p>
            <w:pPr>
              <w:spacing w:before="60" w:after="60" w:line="360" w:lineRule="exact"/>
            </w:pPr>
            <w:r>
              <w:rPr>
                <w:rFonts w:ascii="微软雅黑" w:hAnsi="微软雅黑" w:eastAsia="微软雅黑"/>
                <w:sz w:val="20"/>
              </w:rPr>
              <w:t>大孔径设计显著提升患者舒适度，减少幽闭恐惧感；便于肥胖患者、脊柱侧弯患者及需携带监护设备的重症患者检查；为介入操作和放疗定位提供充足空间，拓展临床应用范围</w:t>
            </w:r>
          </w:p>
        </w:tc>
      </w:tr>
      <w:tr>
        <w:tc>
          <w:tcPr>
            <w:tcW w:w="993" w:type="dxa"/>
          </w:tcPr>
          <w:p>
            <w:pPr>
              <w:spacing w:before="60" w:after="60" w:line="360" w:lineRule="exact"/>
              <w:jc w:val="center"/>
            </w:pPr>
            <w:r>
              <w:rPr>
                <w:rFonts w:ascii="微软雅黑" w:hAnsi="微软雅黑" w:eastAsia="微软雅黑"/>
                <w:sz w:val="20"/>
              </w:rPr>
              <w:t>2</w:t>
            </w:r>
          </w:p>
        </w:tc>
        <w:tc>
          <w:tcPr>
            <w:tcW w:w="2268" w:type="dxa"/>
          </w:tcPr>
          <w:p>
            <w:pPr>
              <w:spacing w:before="60" w:after="60" w:line="360" w:lineRule="exact"/>
            </w:pPr>
            <w:r>
              <w:rPr>
                <w:rFonts w:ascii="微软雅黑" w:hAnsi="微软雅黑" w:eastAsia="微软雅黑"/>
                <w:sz w:val="20"/>
              </w:rPr>
              <w:t>磁体长度（不含外壳）</w:t>
            </w:r>
          </w:p>
        </w:tc>
        <w:tc>
          <w:tcPr>
            <w:tcW w:w="1985" w:type="dxa"/>
          </w:tcPr>
          <w:p>
            <w:pPr>
              <w:spacing w:before="60" w:after="60" w:line="360" w:lineRule="exact"/>
            </w:pPr>
            <w:r>
              <w:rPr>
                <w:rFonts w:ascii="微软雅黑" w:hAnsi="微软雅黑" w:eastAsia="微软雅黑"/>
                <w:sz w:val="20"/>
              </w:rPr>
              <w:t>162cm</w:t>
            </w:r>
          </w:p>
        </w:tc>
        <w:tc>
          <w:tcPr>
            <w:tcW w:w="5528" w:type="dxa"/>
          </w:tcPr>
          <w:p>
            <w:pPr>
              <w:spacing w:before="60" w:after="60" w:line="360" w:lineRule="exact"/>
            </w:pPr>
            <w:r>
              <w:rPr>
                <w:rFonts w:ascii="微软雅黑" w:hAnsi="微软雅黑" w:eastAsia="微软雅黑"/>
                <w:sz w:val="20"/>
              </w:rPr>
              <w:t>短磁体设计大幅降低患者头端入磁体深度，显著减轻幽闭焦虑；提升头颈、脊柱等远端部位扫描的舒适性；便于儿童及老年患者配合，减少镇静需求；短磁体结构更利于科室空间布局与设备维护</w:t>
            </w:r>
          </w:p>
        </w:tc>
      </w:tr>
      <w:tr>
        <w:tc>
          <w:tcPr>
            <w:tcW w:w="993" w:type="dxa"/>
          </w:tcPr>
          <w:p>
            <w:pPr>
              <w:spacing w:before="60" w:after="60" w:line="360" w:lineRule="exact"/>
              <w:jc w:val="center"/>
            </w:pPr>
            <w:r>
              <w:rPr>
                <w:rFonts w:ascii="微软雅黑" w:hAnsi="微软雅黑" w:eastAsia="微软雅黑"/>
                <w:sz w:val="20"/>
              </w:rPr>
              <w:t>3</w:t>
            </w:r>
          </w:p>
        </w:tc>
        <w:tc>
          <w:tcPr>
            <w:tcW w:w="2268" w:type="dxa"/>
          </w:tcPr>
          <w:p>
            <w:pPr>
              <w:spacing w:before="60" w:after="60" w:line="360" w:lineRule="exact"/>
            </w:pPr>
            <w:r>
              <w:rPr>
                <w:rFonts w:ascii="微软雅黑" w:hAnsi="微软雅黑" w:eastAsia="微软雅黑"/>
                <w:sz w:val="20"/>
              </w:rPr>
              <w:t>相控阵射频同时并行接收独立通道数</w:t>
            </w:r>
          </w:p>
        </w:tc>
        <w:tc>
          <w:tcPr>
            <w:tcW w:w="1985" w:type="dxa"/>
          </w:tcPr>
          <w:p>
            <w:pPr>
              <w:spacing w:before="60" w:after="60" w:line="360" w:lineRule="exact"/>
            </w:pPr>
            <w:r>
              <w:rPr>
                <w:rFonts w:ascii="微软雅黑" w:hAnsi="微软雅黑" w:eastAsia="微软雅黑"/>
                <w:sz w:val="20"/>
              </w:rPr>
              <w:t>全数字独立无限通道（</w:t>
            </w:r>
            <w:r>
              <w:rPr>
                <w:rFonts w:ascii="微软雅黑" w:hAnsi="微软雅黑" w:eastAsia="微软雅黑"/>
                <w:sz w:val="20"/>
                <w:u w:val="single"/>
              </w:rPr>
              <w:t>&gt;</w:t>
            </w:r>
            <w:r>
              <w:rPr>
                <w:rFonts w:ascii="微软雅黑" w:hAnsi="微软雅黑" w:eastAsia="微软雅黑"/>
                <w:sz w:val="20"/>
              </w:rPr>
              <w:t>256）</w:t>
            </w:r>
          </w:p>
        </w:tc>
        <w:tc>
          <w:tcPr>
            <w:tcW w:w="5528" w:type="dxa"/>
          </w:tcPr>
          <w:p>
            <w:pPr>
              <w:spacing w:before="60" w:after="60" w:line="360" w:lineRule="exact"/>
            </w:pPr>
            <w:r>
              <w:rPr>
                <w:rFonts w:ascii="微软雅黑" w:hAnsi="微软雅黑" w:eastAsia="微软雅黑"/>
                <w:sz w:val="20"/>
              </w:rPr>
              <w:t>磁共振档次定位金标准，通道数越高越好。</w:t>
            </w:r>
            <w:r>
              <w:rPr>
                <w:rFonts w:ascii="微软雅黑" w:hAnsi="微软雅黑" w:eastAsia="微软雅黑"/>
                <w:sz w:val="20"/>
                <w:u w:val="single"/>
              </w:rPr>
              <w:t>&gt;</w:t>
            </w:r>
            <w:r>
              <w:rPr>
                <w:rFonts w:ascii="微软雅黑" w:hAnsi="微软雅黑" w:eastAsia="微软雅黑"/>
                <w:sz w:val="20"/>
              </w:rPr>
              <w:t>256通道实现超高并行采集加速，大幅缩短扫描时间；支持超高密度线圈，提升全身各部位信噪比与分辨率；目前科研型3.0T磁共振必须在128通道以上，是高端科研与精准临床诊断的核心硬件基础</w:t>
            </w:r>
          </w:p>
        </w:tc>
      </w:tr>
      <w:tr>
        <w:tc>
          <w:tcPr>
            <w:tcW w:w="993" w:type="dxa"/>
          </w:tcPr>
          <w:p>
            <w:pPr>
              <w:spacing w:before="60" w:after="60" w:line="360" w:lineRule="exact"/>
              <w:jc w:val="center"/>
            </w:pPr>
            <w:r>
              <w:rPr>
                <w:rFonts w:ascii="微软雅黑" w:hAnsi="微软雅黑" w:eastAsia="微软雅黑"/>
                <w:sz w:val="20"/>
              </w:rPr>
              <w:t>4</w:t>
            </w:r>
          </w:p>
        </w:tc>
        <w:tc>
          <w:tcPr>
            <w:tcW w:w="2268" w:type="dxa"/>
          </w:tcPr>
          <w:p>
            <w:pPr>
              <w:spacing w:before="60" w:after="60" w:line="360" w:lineRule="exact"/>
            </w:pPr>
            <w:r>
              <w:rPr>
                <w:rFonts w:ascii="微软雅黑" w:hAnsi="微软雅黑" w:eastAsia="微软雅黑"/>
                <w:sz w:val="20"/>
              </w:rPr>
              <w:t>梯度场强</w:t>
            </w:r>
          </w:p>
        </w:tc>
        <w:tc>
          <w:tcPr>
            <w:tcW w:w="1985" w:type="dxa"/>
          </w:tcPr>
          <w:p>
            <w:pPr>
              <w:spacing w:before="60" w:after="60" w:line="360" w:lineRule="exact"/>
            </w:pPr>
            <w:r>
              <w:rPr>
                <w:rFonts w:ascii="微软雅黑" w:hAnsi="微软雅黑" w:eastAsia="微软雅黑"/>
                <w:sz w:val="20"/>
              </w:rPr>
              <w:t>80mT/m</w:t>
            </w:r>
          </w:p>
        </w:tc>
        <w:tc>
          <w:tcPr>
            <w:tcW w:w="5528" w:type="dxa"/>
            <w:vMerge w:val="restart"/>
          </w:tcPr>
          <w:p>
            <w:pPr>
              <w:pStyle w:val="15"/>
              <w:jc w:val="both"/>
              <w:rPr>
                <w:rFonts w:ascii="微软雅黑" w:hAnsi="微软雅黑" w:eastAsia="微软雅黑"/>
                <w:kern w:val="2"/>
                <w:sz w:val="20"/>
                <w:szCs w:val="22"/>
                <w:lang w:eastAsia="zh-CN"/>
              </w:rPr>
            </w:pPr>
            <w:r>
              <w:rPr>
                <w:rFonts w:ascii="微软雅黑" w:hAnsi="微软雅黑" w:eastAsia="微软雅黑"/>
                <w:b/>
                <w:bCs/>
                <w:kern w:val="2"/>
                <w:sz w:val="20"/>
                <w:szCs w:val="22"/>
                <w:lang w:eastAsia="zh-CN"/>
              </w:rPr>
              <w:t>零漂移梯度系统，</w:t>
            </w:r>
            <w:r>
              <w:rPr>
                <w:rFonts w:ascii="微软雅黑" w:hAnsi="微软雅黑" w:eastAsia="微软雅黑"/>
                <w:kern w:val="2"/>
                <w:sz w:val="20"/>
                <w:szCs w:val="22"/>
                <w:lang w:eastAsia="zh-CN"/>
              </w:rPr>
              <w:t>在高梯度强度下树立了极致精准空间定位的最高标准。它实现了 80/220 的高梯度性能，不仅提供了卓越的空间分辨率，也大幅提升了快速成像能力。其中，单轴梯度保真度高达 99.999%，确保了对每个信号的精准定位，从而重建出最真实的影像。这不仅保证了图像的几何准确性，也为定量数据的可靠性奠定了坚实基础，对于需要高度精确测量的临床应用和科研项目具有里程碑式的意义。</w:t>
            </w:r>
          </w:p>
        </w:tc>
      </w:tr>
      <w:tr>
        <w:tc>
          <w:tcPr>
            <w:tcW w:w="993" w:type="dxa"/>
          </w:tcPr>
          <w:p>
            <w:pPr>
              <w:spacing w:before="60" w:after="60" w:line="360" w:lineRule="exact"/>
              <w:jc w:val="center"/>
            </w:pPr>
            <w:r>
              <w:rPr>
                <w:rFonts w:ascii="微软雅黑" w:hAnsi="微软雅黑" w:eastAsia="微软雅黑"/>
                <w:sz w:val="20"/>
              </w:rPr>
              <w:t>5</w:t>
            </w:r>
          </w:p>
        </w:tc>
        <w:tc>
          <w:tcPr>
            <w:tcW w:w="2268" w:type="dxa"/>
          </w:tcPr>
          <w:p>
            <w:pPr>
              <w:spacing w:before="60" w:after="60" w:line="360" w:lineRule="exact"/>
            </w:pPr>
            <w:r>
              <w:rPr>
                <w:rFonts w:ascii="微软雅黑" w:hAnsi="微软雅黑" w:eastAsia="微软雅黑"/>
                <w:sz w:val="20"/>
              </w:rPr>
              <w:t>梯度切换率</w:t>
            </w:r>
          </w:p>
        </w:tc>
        <w:tc>
          <w:tcPr>
            <w:tcW w:w="1985" w:type="dxa"/>
          </w:tcPr>
          <w:p>
            <w:pPr>
              <w:spacing w:before="60" w:after="60" w:line="360" w:lineRule="exact"/>
            </w:pPr>
            <w:r>
              <w:rPr>
                <w:rFonts w:ascii="微软雅黑" w:hAnsi="微软雅黑" w:eastAsia="微软雅黑"/>
                <w:sz w:val="20"/>
              </w:rPr>
              <w:t>220T/m/s</w:t>
            </w:r>
          </w:p>
        </w:tc>
        <w:tc>
          <w:tcPr>
            <w:tcW w:w="5528" w:type="dxa"/>
            <w:vMerge w:val="continue"/>
          </w:tcPr>
          <w:p>
            <w:pPr>
              <w:spacing w:before="60" w:after="60" w:line="360" w:lineRule="exact"/>
            </w:pPr>
          </w:p>
        </w:tc>
      </w:tr>
      <w:tr>
        <w:tc>
          <w:tcPr>
            <w:tcW w:w="993" w:type="dxa"/>
          </w:tcPr>
          <w:p>
            <w:pPr>
              <w:spacing w:before="60" w:after="60" w:line="360" w:lineRule="exact"/>
              <w:jc w:val="center"/>
            </w:pPr>
            <w:r>
              <w:rPr>
                <w:rFonts w:ascii="微软雅黑" w:hAnsi="微软雅黑" w:eastAsia="微软雅黑"/>
                <w:sz w:val="20"/>
              </w:rPr>
              <w:t>6</w:t>
            </w:r>
          </w:p>
        </w:tc>
        <w:tc>
          <w:tcPr>
            <w:tcW w:w="2268" w:type="dxa"/>
          </w:tcPr>
          <w:p>
            <w:pPr>
              <w:spacing w:before="60" w:after="60" w:line="360" w:lineRule="exact"/>
            </w:pPr>
            <w:r>
              <w:rPr>
                <w:rFonts w:ascii="微软雅黑" w:hAnsi="微软雅黑" w:eastAsia="微软雅黑"/>
                <w:sz w:val="20"/>
              </w:rPr>
              <w:t>射频源个数</w:t>
            </w:r>
          </w:p>
        </w:tc>
        <w:tc>
          <w:tcPr>
            <w:tcW w:w="1985" w:type="dxa"/>
          </w:tcPr>
          <w:p>
            <w:pPr>
              <w:spacing w:before="60" w:after="60" w:line="360" w:lineRule="exact"/>
            </w:pPr>
            <w:r>
              <w:rPr>
                <w:rFonts w:ascii="微软雅黑" w:hAnsi="微软雅黑" w:eastAsia="微软雅黑"/>
                <w:sz w:val="20"/>
              </w:rPr>
              <w:t>2个</w:t>
            </w:r>
          </w:p>
        </w:tc>
        <w:tc>
          <w:tcPr>
            <w:tcW w:w="5528" w:type="dxa"/>
          </w:tcPr>
          <w:p>
            <w:pPr>
              <w:spacing w:before="60" w:after="60" w:line="360" w:lineRule="exact"/>
              <w:rPr>
                <w:rFonts w:ascii="微软雅黑" w:hAnsi="微软雅黑" w:eastAsia="微软雅黑"/>
                <w:sz w:val="20"/>
              </w:rPr>
            </w:pPr>
            <w:r>
              <w:rPr>
                <w:rFonts w:ascii="微软雅黑" w:hAnsi="微软雅黑" w:eastAsia="微软雅黑"/>
                <w:b/>
              </w:rPr>
              <w:t>Hi-Fi 双射频系统</w:t>
            </w:r>
            <w:r>
              <w:rPr>
                <w:rFonts w:ascii="微软雅黑" w:hAnsi="微软雅黑" w:eastAsia="微软雅黑"/>
              </w:rPr>
              <w:t xml:space="preserve"> 专注于信号的“纯净度与一致性”，通过行业领先的超低噪声设计，实现了低至 </w:t>
            </w:r>
            <w:bookmarkStart w:id="0" w:name="OLE_LINK1"/>
            <w:r>
              <w:rPr>
                <w:rFonts w:ascii="微软雅黑" w:hAnsi="微软雅黑" w:eastAsia="微软雅黑"/>
              </w:rPr>
              <w:t>-165 dBm/Hz</w:t>
            </w:r>
            <w:bookmarkEnd w:id="0"/>
            <w:r>
              <w:rPr>
                <w:rFonts w:ascii="微软雅黑" w:hAnsi="微软雅黑" w:eastAsia="微软雅黑"/>
              </w:rPr>
              <w:t xml:space="preserve"> 的超低噪声水平，这一指标已接近物理噪声极限。在代谢成像（如 APT）等对信号敏感度要求极高的应用中，Hi-Fi 系统能够有效保留极其微弱的信号，使原本容易被淹没的关键信息得以真实呈现，从而显著提升对早期、微小病灶的检出能力，为临床医生提供更早期、更准确的诊断依据。</w:t>
            </w:r>
          </w:p>
          <w:p>
            <w:pPr>
              <w:spacing w:before="60" w:after="60" w:line="360" w:lineRule="exact"/>
              <w:rPr>
                <w:rFonts w:ascii="微软雅黑" w:hAnsi="微软雅黑" w:eastAsia="微软雅黑"/>
                <w:sz w:val="20"/>
              </w:rPr>
            </w:pPr>
            <w:r>
              <w:rPr>
                <w:rFonts w:ascii="微软雅黑" w:hAnsi="微软雅黑" w:eastAsia="微软雅黑"/>
                <w:sz w:val="20"/>
              </w:rPr>
              <w:t>两个独立射频源可同时工作，实时个性化调节射频场，有效改善体部及心脏图像的B1均匀性；消除介电伪影，提升大视野成像质量；是超高场3T实现精准定量成像、多部位联合扫描的必备技术</w:t>
            </w:r>
            <w:r>
              <w:rPr>
                <w:rFonts w:hint="eastAsia" w:ascii="微软雅黑" w:hAnsi="微软雅黑" w:eastAsia="微软雅黑"/>
                <w:sz w:val="20"/>
              </w:rPr>
              <w:t>。</w:t>
            </w:r>
          </w:p>
          <w:p>
            <w:pPr>
              <w:spacing w:before="60" w:after="60" w:line="360" w:lineRule="exact"/>
            </w:pPr>
          </w:p>
        </w:tc>
      </w:tr>
      <w:tr>
        <w:tc>
          <w:tcPr>
            <w:tcW w:w="993" w:type="dxa"/>
          </w:tcPr>
          <w:p>
            <w:pPr>
              <w:spacing w:before="60" w:after="60" w:line="360" w:lineRule="exact"/>
              <w:jc w:val="center"/>
            </w:pPr>
            <w:r>
              <w:rPr>
                <w:rFonts w:ascii="微软雅黑" w:hAnsi="微软雅黑" w:eastAsia="微软雅黑"/>
                <w:sz w:val="20"/>
              </w:rPr>
              <w:t>7</w:t>
            </w:r>
          </w:p>
        </w:tc>
        <w:tc>
          <w:tcPr>
            <w:tcW w:w="2268" w:type="dxa"/>
          </w:tcPr>
          <w:p>
            <w:pPr>
              <w:spacing w:before="60" w:after="60" w:line="360" w:lineRule="exact"/>
            </w:pPr>
            <w:r>
              <w:rPr>
                <w:rFonts w:ascii="微软雅黑" w:hAnsi="微软雅黑" w:eastAsia="微软雅黑"/>
                <w:sz w:val="20"/>
              </w:rPr>
              <w:t>射频放大器个数</w:t>
            </w:r>
          </w:p>
        </w:tc>
        <w:tc>
          <w:tcPr>
            <w:tcW w:w="1985" w:type="dxa"/>
          </w:tcPr>
          <w:p>
            <w:pPr>
              <w:spacing w:before="60" w:after="60" w:line="360" w:lineRule="exact"/>
            </w:pPr>
            <w:r>
              <w:rPr>
                <w:rFonts w:ascii="微软雅黑" w:hAnsi="微软雅黑" w:eastAsia="微软雅黑"/>
                <w:sz w:val="20"/>
              </w:rPr>
              <w:t>2个</w:t>
            </w:r>
          </w:p>
        </w:tc>
        <w:tc>
          <w:tcPr>
            <w:tcW w:w="5528" w:type="dxa"/>
          </w:tcPr>
          <w:p>
            <w:pPr>
              <w:spacing w:before="60" w:after="60" w:line="360" w:lineRule="exact"/>
            </w:pPr>
            <w:r>
              <w:rPr>
                <w:rFonts w:ascii="微软雅黑" w:hAnsi="微软雅黑" w:eastAsia="微软雅黑"/>
                <w:sz w:val="20"/>
              </w:rPr>
              <w:t>双独立射频放大器分别驱动两个射频源，确保各通道功率稳定输出，避免信号串扰</w:t>
            </w:r>
            <w:r>
              <w:rPr>
                <w:rFonts w:hint="eastAsia" w:ascii="微软雅黑" w:hAnsi="微软雅黑" w:eastAsia="微软雅黑"/>
                <w:sz w:val="20"/>
              </w:rPr>
              <w:t>；</w:t>
            </w:r>
            <w:r>
              <w:rPr>
                <w:rFonts w:ascii="微软雅黑" w:hAnsi="微软雅黑" w:eastAsia="微软雅黑"/>
                <w:sz w:val="20"/>
              </w:rPr>
              <w:t>是实现精准定量成像、快速扫描及复杂序列（如多激发EPI）的硬件基础</w:t>
            </w:r>
          </w:p>
        </w:tc>
      </w:tr>
      <w:tr>
        <w:tc>
          <w:tcPr>
            <w:tcW w:w="993" w:type="dxa"/>
          </w:tcPr>
          <w:p>
            <w:pPr>
              <w:spacing w:before="60" w:after="60" w:line="360" w:lineRule="exact"/>
              <w:jc w:val="center"/>
            </w:pPr>
            <w:r>
              <w:rPr>
                <w:rFonts w:ascii="微软雅黑" w:hAnsi="微软雅黑" w:eastAsia="微软雅黑"/>
                <w:sz w:val="20"/>
              </w:rPr>
              <w:t>8</w:t>
            </w:r>
          </w:p>
        </w:tc>
        <w:tc>
          <w:tcPr>
            <w:tcW w:w="2268" w:type="dxa"/>
          </w:tcPr>
          <w:p>
            <w:pPr>
              <w:spacing w:before="60" w:after="60" w:line="360" w:lineRule="exact"/>
            </w:pPr>
            <w:r>
              <w:rPr>
                <w:rFonts w:ascii="微软雅黑" w:hAnsi="微软雅黑" w:eastAsia="微软雅黑"/>
                <w:sz w:val="20"/>
              </w:rPr>
              <w:t>射频最大功率</w:t>
            </w:r>
          </w:p>
        </w:tc>
        <w:tc>
          <w:tcPr>
            <w:tcW w:w="1985" w:type="dxa"/>
          </w:tcPr>
          <w:p>
            <w:pPr>
              <w:spacing w:before="60" w:after="60" w:line="360" w:lineRule="exact"/>
            </w:pPr>
            <w:r>
              <w:rPr>
                <w:rFonts w:ascii="微软雅黑" w:hAnsi="微软雅黑" w:eastAsia="微软雅黑"/>
                <w:sz w:val="20"/>
              </w:rPr>
              <w:t>2×20KW</w:t>
            </w:r>
          </w:p>
        </w:tc>
        <w:tc>
          <w:tcPr>
            <w:tcW w:w="5528" w:type="dxa"/>
          </w:tcPr>
          <w:p>
            <w:pPr>
              <w:spacing w:before="60" w:after="60" w:line="360" w:lineRule="exact"/>
            </w:pPr>
            <w:r>
              <w:rPr>
                <w:rFonts w:ascii="微软雅黑" w:hAnsi="微软雅黑" w:eastAsia="微软雅黑"/>
                <w:sz w:val="20"/>
              </w:rPr>
              <w:t>40KW总射频功率储备充足，满足多通道同时激发、大视野覆盖及快速序列（如Turbo Spin Echo、EPI）的高能量需求；确保高B1场均匀性，改善深部组织（如腹部、盆腔）信号穿透；支持全身各部位高质量成像，保障高流通量检查的稳定输出</w:t>
            </w:r>
          </w:p>
        </w:tc>
      </w:tr>
      <w:tr>
        <w:tc>
          <w:tcPr>
            <w:tcW w:w="993" w:type="dxa"/>
          </w:tcPr>
          <w:p>
            <w:pPr>
              <w:spacing w:before="60" w:after="60" w:line="360" w:lineRule="exact"/>
              <w:jc w:val="center"/>
            </w:pPr>
            <w:r>
              <w:rPr>
                <w:rFonts w:ascii="微软雅黑" w:hAnsi="微软雅黑" w:eastAsia="微软雅黑"/>
                <w:sz w:val="20"/>
              </w:rPr>
              <w:t>9</w:t>
            </w:r>
          </w:p>
        </w:tc>
        <w:tc>
          <w:tcPr>
            <w:tcW w:w="2268" w:type="dxa"/>
          </w:tcPr>
          <w:p>
            <w:pPr>
              <w:spacing w:before="60" w:after="60" w:line="360" w:lineRule="exact"/>
            </w:pPr>
            <w:r>
              <w:rPr>
                <w:rFonts w:ascii="微软雅黑" w:hAnsi="微软雅黑" w:eastAsia="微软雅黑"/>
                <w:sz w:val="20"/>
              </w:rPr>
              <w:t>人体智能感知系统</w:t>
            </w:r>
          </w:p>
        </w:tc>
        <w:tc>
          <w:tcPr>
            <w:tcW w:w="1985" w:type="dxa"/>
          </w:tcPr>
          <w:p>
            <w:pPr>
              <w:spacing w:before="60" w:after="60" w:line="360" w:lineRule="exact"/>
            </w:pPr>
            <w:r>
              <w:rPr>
                <w:rFonts w:ascii="微软雅黑" w:hAnsi="微软雅黑" w:eastAsia="微软雅黑"/>
                <w:sz w:val="20"/>
              </w:rPr>
              <w:t>Vital Eye</w:t>
            </w:r>
          </w:p>
        </w:tc>
        <w:tc>
          <w:tcPr>
            <w:tcW w:w="5528" w:type="dxa"/>
          </w:tcPr>
          <w:p>
            <w:pPr>
              <w:spacing w:before="60" w:after="60" w:line="360" w:lineRule="exact"/>
            </w:pPr>
            <w:r>
              <w:rPr>
                <w:rFonts w:ascii="微软雅黑" w:hAnsi="微软雅黑" w:eastAsia="微软雅黑"/>
                <w:sz w:val="20"/>
              </w:rPr>
              <w:t>Vital Eye智能感知技术实时监测患者呼吸及体动，自动触发扫描；摆脱传统呼吸门控的绑带束缚与配合门槛，减少因患者呼吸不规律导致的重复扫描；显著提升检查效率，改善老年、儿童及重症患者的检查体验</w:t>
            </w:r>
          </w:p>
        </w:tc>
      </w:tr>
      <w:tr>
        <w:tc>
          <w:tcPr>
            <w:tcW w:w="993" w:type="dxa"/>
          </w:tcPr>
          <w:p>
            <w:pPr>
              <w:spacing w:before="60" w:after="60" w:line="360" w:lineRule="exact"/>
              <w:jc w:val="center"/>
            </w:pPr>
            <w:r>
              <w:rPr>
                <w:rFonts w:ascii="微软雅黑" w:hAnsi="微软雅黑" w:eastAsia="微软雅黑"/>
                <w:sz w:val="20"/>
              </w:rPr>
              <w:t>10</w:t>
            </w:r>
          </w:p>
        </w:tc>
        <w:tc>
          <w:tcPr>
            <w:tcW w:w="2268" w:type="dxa"/>
          </w:tcPr>
          <w:p>
            <w:pPr>
              <w:spacing w:before="60" w:after="60" w:line="360" w:lineRule="exact"/>
            </w:pPr>
            <w:r>
              <w:rPr>
                <w:rFonts w:ascii="微软雅黑" w:hAnsi="微软雅黑" w:eastAsia="微软雅黑"/>
                <w:sz w:val="20"/>
              </w:rPr>
              <w:t>下一代智能工作域平台</w:t>
            </w:r>
          </w:p>
        </w:tc>
        <w:tc>
          <w:tcPr>
            <w:tcW w:w="1985" w:type="dxa"/>
          </w:tcPr>
          <w:p>
            <w:pPr>
              <w:spacing w:before="60" w:after="60" w:line="360" w:lineRule="exact"/>
            </w:pPr>
            <w:r>
              <w:rPr>
                <w:rFonts w:ascii="微软雅黑" w:hAnsi="微软雅黑" w:eastAsia="微软雅黑"/>
                <w:sz w:val="20"/>
              </w:rPr>
              <w:t>SmartSpace</w:t>
            </w:r>
          </w:p>
        </w:tc>
        <w:tc>
          <w:tcPr>
            <w:tcW w:w="5528" w:type="dxa"/>
          </w:tcPr>
          <w:p>
            <w:pPr>
              <w:spacing w:before="60" w:after="60" w:line="360" w:lineRule="exact"/>
            </w:pPr>
            <w:r>
              <w:rPr>
                <w:rFonts w:ascii="微软雅黑" w:hAnsi="微软雅黑" w:eastAsia="微软雅黑"/>
                <w:sz w:val="20"/>
              </w:rPr>
              <w:t>双屏（27寸、4K高清屏）临床科研并行模式，实现扫描与后处理同步进行；全流程自动化智能极简操作，有效减少扫描准备时间；减轻技师工作负担，降低人为操作失误；提升临床流通量，优化科室运营效率</w:t>
            </w:r>
          </w:p>
        </w:tc>
      </w:tr>
      <w:tr>
        <w:tc>
          <w:tcPr>
            <w:tcW w:w="993" w:type="dxa"/>
          </w:tcPr>
          <w:p>
            <w:pPr>
              <w:spacing w:before="60" w:after="60" w:line="360" w:lineRule="exact"/>
              <w:jc w:val="center"/>
            </w:pPr>
            <w:r>
              <w:rPr>
                <w:rFonts w:ascii="微软雅黑" w:hAnsi="微软雅黑" w:eastAsia="微软雅黑"/>
                <w:sz w:val="20"/>
              </w:rPr>
              <w:t>11</w:t>
            </w:r>
          </w:p>
        </w:tc>
        <w:tc>
          <w:tcPr>
            <w:tcW w:w="2268" w:type="dxa"/>
          </w:tcPr>
          <w:p>
            <w:pPr>
              <w:spacing w:before="60" w:after="60" w:line="360" w:lineRule="exact"/>
            </w:pPr>
            <w:r>
              <w:rPr>
                <w:rFonts w:ascii="微软雅黑" w:hAnsi="微软雅黑" w:eastAsia="微软雅黑"/>
                <w:sz w:val="20"/>
              </w:rPr>
              <w:t>深度学习平台</w:t>
            </w:r>
          </w:p>
        </w:tc>
        <w:tc>
          <w:tcPr>
            <w:tcW w:w="1985" w:type="dxa"/>
          </w:tcPr>
          <w:p>
            <w:pPr>
              <w:spacing w:before="60" w:after="60" w:line="360" w:lineRule="exact"/>
            </w:pPr>
            <w:r>
              <w:rPr>
                <w:rFonts w:ascii="微软雅黑" w:hAnsi="微软雅黑" w:eastAsia="微软雅黑"/>
                <w:sz w:val="20"/>
              </w:rPr>
              <w:t>具备</w:t>
            </w:r>
          </w:p>
        </w:tc>
        <w:tc>
          <w:tcPr>
            <w:tcW w:w="5528" w:type="dxa"/>
          </w:tcPr>
          <w:p>
            <w:pPr>
              <w:spacing w:before="60" w:after="60" w:line="360" w:lineRule="exact"/>
              <w:rPr>
                <w:rFonts w:ascii="微软雅黑" w:hAnsi="微软雅黑" w:eastAsia="微软雅黑"/>
                <w:sz w:val="20"/>
              </w:rPr>
            </w:pPr>
            <w:r>
              <w:rPr>
                <w:rFonts w:hint="eastAsia" w:ascii="微软雅黑" w:hAnsi="微软雅黑" w:eastAsia="微软雅黑"/>
                <w:sz w:val="20"/>
              </w:rPr>
              <w:t>AI嵌入成像全流程，从患者定位、扫描参数优化、图像重建到后处理分析，每个环节都有AI的参与。</w:t>
            </w:r>
          </w:p>
          <w:p>
            <w:pPr>
              <w:spacing w:before="60" w:after="60" w:line="360" w:lineRule="exact"/>
            </w:pPr>
            <w:r>
              <w:rPr>
                <w:rFonts w:hint="eastAsia" w:ascii="微软雅黑" w:hAnsi="微软雅黑" w:eastAsia="微软雅黑"/>
                <w:sz w:val="20"/>
              </w:rPr>
              <w:t>在保障图像真实度的同时，扫描速度提升3倍，微小病灶的检出能力大幅提升65%；</w:t>
            </w:r>
            <w:r>
              <w:rPr>
                <w:rFonts w:ascii="微软雅黑" w:hAnsi="微软雅黑" w:eastAsia="微软雅黑"/>
                <w:sz w:val="20"/>
              </w:rPr>
              <w:t>赋能精准诊断与科研转化</w:t>
            </w:r>
            <w:r>
              <w:rPr>
                <w:rFonts w:hint="eastAsia" w:ascii="微软雅黑" w:hAnsi="微软雅黑" w:eastAsia="微软雅黑"/>
                <w:sz w:val="20"/>
              </w:rPr>
              <w:t>。</w:t>
            </w:r>
          </w:p>
        </w:tc>
      </w:tr>
    </w:tbl>
    <w:p>
      <w:pPr>
        <w:widowControl/>
        <w:jc w:val="left"/>
        <w:rPr>
          <w:rFonts w:ascii="DengXian" w:hAnsi="DengXian" w:eastAsia="DengXian"/>
          <w:sz w:val="22"/>
        </w:rPr>
      </w:pPr>
    </w:p>
    <w:p>
      <w:pPr>
        <w:pStyle w:val="10"/>
        <w:widowControl/>
        <w:numPr>
          <w:ilvl w:val="0"/>
          <w:numId w:val="1"/>
        </w:numPr>
        <w:ind w:firstLineChars="0"/>
        <w:jc w:val="left"/>
        <w:rPr>
          <w:rFonts w:ascii="DengXian" w:hAnsi="DengXian" w:eastAsia="DengXian"/>
          <w:sz w:val="22"/>
        </w:rPr>
      </w:pPr>
      <w:r>
        <w:rPr>
          <w:rFonts w:hint="eastAsia" w:ascii="DengXian" w:hAnsi="DengXian" w:eastAsia="DengXian"/>
          <w:sz w:val="22"/>
        </w:rPr>
        <w:t>临床效果：</w:t>
      </w:r>
    </w:p>
    <w:p>
      <w:pPr>
        <w:pStyle w:val="10"/>
        <w:widowControl/>
        <w:spacing w:line="360" w:lineRule="auto"/>
        <w:ind w:firstLine="0" w:firstLineChars="0"/>
        <w:jc w:val="left"/>
        <w:rPr>
          <w:rFonts w:ascii="DengXian" w:hAnsi="DengXian" w:eastAsia="DengXian"/>
          <w:sz w:val="22"/>
        </w:rPr>
      </w:pPr>
      <w:r>
        <w:rPr>
          <w:rFonts w:ascii="DengXian" w:hAnsi="DengXian" w:eastAsia="DengXian"/>
          <w:sz w:val="22"/>
        </w:rPr>
        <w:t>飞利浦 Innovation 3.0T 超脑磁共振通过 Hi-Fi 双射频系统实现-165 dBm/Hz 超低噪声，精准捕获微弱信号，显著提升早期微小病灶检出能力；</w:t>
      </w:r>
      <w:r>
        <w:rPr>
          <w:rFonts w:hint="eastAsia" w:ascii="DengXian" w:hAnsi="DengXian" w:eastAsia="DengXian"/>
          <w:sz w:val="22"/>
        </w:rPr>
        <w:t>80/220</w:t>
      </w:r>
      <w:r>
        <w:rPr>
          <w:rFonts w:ascii="DengXian" w:hAnsi="DengXian" w:eastAsia="DengXian"/>
          <w:sz w:val="22"/>
        </w:rPr>
        <w:t>零漂移梯度系统以 99.999% 保真度确保图像几何精准与定量可靠；双 AI 重建架构在提速三倍的同时杜绝"幻觉"风险，微小病灶检出能力提升 65%；智域平台实现扫描与后处理并行，简化心脏等复杂检查流程，大幅提升临床效率与患者体验。</w:t>
      </w:r>
      <w:r>
        <w:rPr>
          <w:rFonts w:hint="eastAsia" w:ascii="DengXian" w:hAnsi="DengXian" w:eastAsia="DengXian"/>
          <w:sz w:val="22"/>
        </w:rPr>
        <w:t>实现临床科研的极限突破：最高25000b值弥散、最高1024方向的DTI成像、最快18秒冠脉成像、最高2秒每期超高时间分辨率动态增强成像、代谢物定量研究平台等等突破。</w:t>
      </w:r>
    </w:p>
    <w:p>
      <w:pPr>
        <w:pStyle w:val="10"/>
        <w:widowControl/>
        <w:numPr>
          <w:ilvl w:val="0"/>
          <w:numId w:val="1"/>
        </w:numPr>
        <w:ind w:firstLineChars="0"/>
        <w:jc w:val="left"/>
        <w:rPr>
          <w:rFonts w:ascii="DengXian" w:hAnsi="DengXian" w:eastAsia="DengXian"/>
          <w:sz w:val="22"/>
        </w:rPr>
      </w:pPr>
      <w:r>
        <w:rPr>
          <w:rFonts w:hint="eastAsia" w:ascii="DengXian" w:hAnsi="DengXian" w:eastAsia="DengXian"/>
          <w:sz w:val="22"/>
        </w:rPr>
        <w:t>经济学价值：</w:t>
      </w:r>
    </w:p>
    <w:p>
      <w:pPr>
        <w:widowControl/>
        <w:jc w:val="left"/>
        <w:rPr>
          <w:rFonts w:ascii="DengXian" w:hAnsi="DengXian" w:eastAsia="DengXian"/>
          <w:sz w:val="22"/>
        </w:rPr>
      </w:pPr>
      <w:r>
        <w:rPr>
          <w:rFonts w:hint="eastAsia" w:ascii="DengXian" w:hAnsi="DengXian" w:eastAsia="DengXian"/>
          <w:sz w:val="22"/>
        </w:rPr>
        <w:t>1.使用年限：10年</w:t>
      </w:r>
    </w:p>
    <w:p>
      <w:pPr>
        <w:widowControl/>
        <w:jc w:val="left"/>
        <w:rPr>
          <w:rFonts w:ascii="DengXian" w:hAnsi="DengXian" w:eastAsia="DengXian"/>
          <w:sz w:val="22"/>
        </w:rPr>
      </w:pPr>
      <w:r>
        <w:rPr>
          <w:rFonts w:hint="eastAsia" w:ascii="DengXian" w:hAnsi="DengXian" w:eastAsia="DengXian"/>
          <w:sz w:val="22"/>
        </w:rPr>
        <w:t>2.仪器设备的检测项目工作量及收费标准：</w:t>
      </w:r>
    </w:p>
    <w:p>
      <w:pPr>
        <w:widowControl/>
        <w:jc w:val="left"/>
        <w:rPr>
          <w:rFonts w:ascii="DengXian" w:hAnsi="DengXian" w:eastAsia="DengXian"/>
          <w:sz w:val="22"/>
        </w:rPr>
      </w:pPr>
      <w:r>
        <w:rPr>
          <w:rFonts w:hint="eastAsia" w:ascii="DengXian" w:hAnsi="DengXian" w:eastAsia="DengXian"/>
          <w:sz w:val="22"/>
        </w:rPr>
        <w:t>项目名称：磁共振扫描</w:t>
      </w:r>
    </w:p>
    <w:p>
      <w:pPr>
        <w:widowControl/>
        <w:jc w:val="left"/>
        <w:rPr>
          <w:rFonts w:ascii="DengXian" w:hAnsi="DengXian" w:eastAsia="DengXian"/>
          <w:sz w:val="22"/>
        </w:rPr>
      </w:pPr>
      <w:r>
        <w:rPr>
          <w:rFonts w:hint="eastAsia" w:ascii="DengXian" w:hAnsi="DengXian" w:eastAsia="DengXian"/>
          <w:sz w:val="22"/>
        </w:rPr>
        <w:t>每月工作量：2700人（90x30）</w:t>
      </w:r>
    </w:p>
    <w:p>
      <w:pPr>
        <w:widowControl/>
        <w:jc w:val="left"/>
        <w:rPr>
          <w:rFonts w:ascii="DengXian" w:hAnsi="DengXian" w:eastAsia="DengXian"/>
          <w:sz w:val="22"/>
        </w:rPr>
      </w:pPr>
      <w:r>
        <w:rPr>
          <w:rFonts w:hint="eastAsia" w:ascii="DengXian" w:hAnsi="DengXian" w:eastAsia="DengXian"/>
          <w:sz w:val="22"/>
        </w:rPr>
        <w:t>每个人次扫描所需平均时间：8分钟</w:t>
      </w:r>
    </w:p>
    <w:p>
      <w:pPr>
        <w:widowControl/>
        <w:jc w:val="left"/>
        <w:rPr>
          <w:rFonts w:ascii="DengXian" w:hAnsi="DengXian" w:eastAsia="DengXian"/>
          <w:sz w:val="22"/>
        </w:rPr>
      </w:pPr>
      <w:r>
        <w:rPr>
          <w:rFonts w:hint="eastAsia" w:ascii="DengXian" w:hAnsi="DengXian" w:eastAsia="DengXian"/>
          <w:sz w:val="22"/>
        </w:rPr>
        <w:t xml:space="preserve">收费标准：430元/人     </w:t>
      </w:r>
    </w:p>
    <w:p>
      <w:pPr>
        <w:widowControl/>
        <w:jc w:val="left"/>
        <w:rPr>
          <w:rFonts w:ascii="DengXian" w:hAnsi="DengXian" w:eastAsia="DengXian"/>
          <w:sz w:val="22"/>
        </w:rPr>
      </w:pPr>
      <w:r>
        <w:rPr>
          <w:rFonts w:hint="eastAsia" w:ascii="DengXian" w:hAnsi="DengXian" w:eastAsia="DengXian"/>
          <w:sz w:val="22"/>
        </w:rPr>
        <w:t>3.年经济收入：约1400万元</w:t>
      </w:r>
    </w:p>
    <w:p>
      <w:pPr>
        <w:widowControl/>
        <w:jc w:val="left"/>
        <w:rPr>
          <w:rFonts w:ascii="DengXian" w:hAnsi="DengXian" w:eastAsia="DengXian"/>
          <w:sz w:val="22"/>
        </w:rPr>
      </w:pPr>
      <w:r>
        <w:rPr>
          <w:rFonts w:hint="eastAsia" w:ascii="DengXian" w:hAnsi="DengXian" w:eastAsia="DengXian"/>
          <w:sz w:val="22"/>
        </w:rPr>
        <w:t>4.年维修费用估计：120万元</w:t>
      </w:r>
    </w:p>
    <w:p>
      <w:pPr>
        <w:pStyle w:val="10"/>
        <w:widowControl/>
        <w:ind w:left="440" w:firstLine="0" w:firstLineChars="0"/>
        <w:jc w:val="left"/>
        <w:rPr>
          <w:rFonts w:ascii="DengXian" w:hAnsi="DengXian" w:eastAsia="DengXian"/>
          <w:sz w:val="22"/>
        </w:rPr>
      </w:pPr>
    </w:p>
    <w:p>
      <w:pPr>
        <w:pStyle w:val="10"/>
        <w:widowControl/>
        <w:ind w:left="440" w:firstLine="0" w:firstLineChars="0"/>
        <w:jc w:val="left"/>
        <w:rPr>
          <w:rFonts w:ascii="DengXian" w:hAnsi="DengXian" w:eastAsia="DengXian"/>
          <w:sz w:val="22"/>
        </w:rPr>
      </w:pPr>
    </w:p>
    <w:p>
      <w:pPr>
        <w:pStyle w:val="10"/>
        <w:widowControl/>
        <w:ind w:left="440" w:firstLine="0" w:firstLineChars="0"/>
        <w:jc w:val="left"/>
        <w:rPr>
          <w:rFonts w:ascii="DengXian" w:hAnsi="DengXian" w:eastAsia="DengXian"/>
          <w:sz w:val="22"/>
        </w:rPr>
      </w:pPr>
    </w:p>
    <w:p>
      <w:pPr>
        <w:pStyle w:val="10"/>
        <w:widowControl/>
        <w:ind w:left="440" w:firstLine="0" w:firstLineChars="0"/>
        <w:jc w:val="left"/>
        <w:rPr>
          <w:rFonts w:ascii="DengXian" w:hAnsi="DengXian" w:eastAsia="DengXian"/>
          <w:sz w:val="22"/>
        </w:rPr>
      </w:pPr>
    </w:p>
    <w:p>
      <w:pPr>
        <w:pStyle w:val="10"/>
        <w:widowControl/>
        <w:ind w:left="440" w:firstLine="0" w:firstLineChars="0"/>
        <w:jc w:val="left"/>
        <w:rPr>
          <w:rFonts w:ascii="DengXian" w:hAnsi="DengXian" w:eastAsia="DengXian"/>
          <w:sz w:val="22"/>
        </w:rPr>
      </w:pPr>
    </w:p>
    <w:p>
      <w:pPr>
        <w:pStyle w:val="10"/>
        <w:widowControl/>
        <w:ind w:left="440" w:firstLine="0" w:firstLineChars="0"/>
        <w:jc w:val="left"/>
        <w:rPr>
          <w:rFonts w:ascii="DengXian" w:hAnsi="DengXian" w:eastAsia="DengXian"/>
          <w:sz w:val="22"/>
        </w:rPr>
      </w:pPr>
    </w:p>
    <w:p>
      <w:pPr>
        <w:pStyle w:val="10"/>
        <w:widowControl/>
        <w:ind w:left="440" w:firstLine="0" w:firstLineChars="0"/>
        <w:jc w:val="left"/>
        <w:rPr>
          <w:rFonts w:ascii="DengXian" w:hAnsi="DengXian" w:eastAsia="DengXian"/>
          <w:sz w:val="22"/>
        </w:rPr>
      </w:pPr>
    </w:p>
    <w:p>
      <w:pPr>
        <w:pStyle w:val="10"/>
        <w:widowControl/>
        <w:ind w:left="440" w:firstLine="0" w:firstLineChars="0"/>
        <w:jc w:val="left"/>
        <w:rPr>
          <w:rFonts w:ascii="DengXian" w:hAnsi="DengXian" w:eastAsia="DengXian"/>
          <w:sz w:val="22"/>
        </w:rPr>
      </w:pPr>
    </w:p>
    <w:p>
      <w:pPr>
        <w:pStyle w:val="10"/>
        <w:widowControl/>
        <w:ind w:left="440" w:firstLine="0" w:firstLineChars="0"/>
        <w:jc w:val="left"/>
        <w:rPr>
          <w:rFonts w:ascii="DengXian" w:hAnsi="DengXian" w:eastAsia="DengXian"/>
          <w:sz w:val="22"/>
        </w:rPr>
      </w:pPr>
    </w:p>
    <w:p>
      <w:pPr>
        <w:pStyle w:val="10"/>
        <w:widowControl/>
        <w:ind w:left="440" w:firstLine="0" w:firstLineChars="0"/>
        <w:jc w:val="left"/>
        <w:rPr>
          <w:rFonts w:ascii="DengXian" w:hAnsi="DengXian" w:eastAsia="DengXian"/>
          <w:sz w:val="22"/>
        </w:rPr>
      </w:pPr>
    </w:p>
    <w:p>
      <w:pPr>
        <w:pStyle w:val="10"/>
        <w:widowControl/>
        <w:numPr>
          <w:ilvl w:val="0"/>
          <w:numId w:val="1"/>
        </w:numPr>
        <w:ind w:firstLineChars="0"/>
        <w:jc w:val="left"/>
        <w:rPr>
          <w:rFonts w:ascii="DengXian" w:hAnsi="DengXian" w:eastAsia="DengXian"/>
          <w:sz w:val="22"/>
        </w:rPr>
      </w:pPr>
      <w:r>
        <w:rPr>
          <w:rFonts w:hint="eastAsia" w:ascii="DengXian" w:hAnsi="DengXian" w:eastAsia="DengXian"/>
          <w:sz w:val="22"/>
        </w:rPr>
        <w:t>参数对比表：</w:t>
      </w:r>
      <w:r>
        <w:rPr>
          <w:rFonts w:ascii="DengXian" w:hAnsi="DengXian" w:eastAsia="DengXian"/>
          <w:sz w:val="22"/>
        </w:rPr>
        <w:t xml:space="preserve"> </w:t>
      </w:r>
    </w:p>
    <w:p>
      <w:pPr>
        <w:widowControl/>
        <w:jc w:val="left"/>
        <w:rPr>
          <w:rFonts w:ascii="DengXian" w:hAnsi="DengXian" w:eastAsia="DengXian"/>
          <w:sz w:val="22"/>
        </w:rPr>
      </w:pPr>
    </w:p>
    <w:p>
      <w:pPr>
        <w:pStyle w:val="10"/>
        <w:widowControl/>
        <w:ind w:left="440" w:firstLine="0" w:firstLineChars="0"/>
        <w:jc w:val="left"/>
        <w:rPr>
          <w:rFonts w:ascii="DengXian" w:hAnsi="DengXian" w:eastAsia="DengXian"/>
          <w:sz w:val="22"/>
        </w:rPr>
      </w:pPr>
      <w:r>
        <w:rPr>
          <w:rFonts w:ascii="DengXian" w:hAnsi="DengXian" w:eastAsia="DengXian"/>
          <w:sz w:val="22"/>
        </w:rPr>
        <w:drawing>
          <wp:inline distT="0" distB="0" distL="0" distR="0">
            <wp:extent cx="5712460" cy="4291330"/>
            <wp:effectExtent l="0" t="0" r="2540" b="0"/>
            <wp:docPr id="208104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48439" name="Picture 1"/>
                    <pic:cNvPicPr>
                      <a:picLocks noChangeAspect="1"/>
                    </pic:cNvPicPr>
                  </pic:nvPicPr>
                  <pic:blipFill>
                    <a:blip r:embed="rId6"/>
                    <a:stretch>
                      <a:fillRect/>
                    </a:stretch>
                  </pic:blipFill>
                  <pic:spPr>
                    <a:xfrm>
                      <a:off x="0" y="0"/>
                      <a:ext cx="5726756" cy="4301617"/>
                    </a:xfrm>
                    <a:prstGeom prst="rect">
                      <a:avLst/>
                    </a:prstGeom>
                  </pic:spPr>
                </pic:pic>
              </a:graphicData>
            </a:graphic>
          </wp:inline>
        </w:drawing>
      </w:r>
    </w:p>
    <w:p>
      <w:pPr>
        <w:widowControl/>
        <w:rPr>
          <w:b/>
          <w:bCs/>
          <w:sz w:val="22"/>
        </w:rPr>
      </w:pPr>
      <w:r>
        <w:rPr>
          <w:b/>
          <w:bCs/>
          <w:sz w:val="22"/>
        </w:rPr>
        <w:drawing>
          <wp:inline distT="0" distB="0" distL="0" distR="0">
            <wp:extent cx="5274310" cy="3975735"/>
            <wp:effectExtent l="0" t="0" r="2540" b="5715"/>
            <wp:docPr id="88829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99918" name="Picture 1"/>
                    <pic:cNvPicPr>
                      <a:picLocks noChangeAspect="1"/>
                    </pic:cNvPicPr>
                  </pic:nvPicPr>
                  <pic:blipFill>
                    <a:blip r:embed="rId7"/>
                    <a:stretch>
                      <a:fillRect/>
                    </a:stretch>
                  </pic:blipFill>
                  <pic:spPr>
                    <a:xfrm>
                      <a:off x="0" y="0"/>
                      <a:ext cx="5274310" cy="3975735"/>
                    </a:xfrm>
                    <a:prstGeom prst="rect">
                      <a:avLst/>
                    </a:prstGeom>
                  </pic:spPr>
                </pic:pic>
              </a:graphicData>
            </a:graphic>
          </wp:inline>
        </w:drawing>
      </w:r>
    </w:p>
    <w:p>
      <w:pPr>
        <w:widowControl/>
        <w:jc w:val="left"/>
      </w:pPr>
      <w:r>
        <w:drawing>
          <wp:inline distT="0" distB="0" distL="0" distR="0">
            <wp:extent cx="5274310" cy="4107815"/>
            <wp:effectExtent l="0" t="0" r="2540" b="6985"/>
            <wp:docPr id="98940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07152" name="Picture 1"/>
                    <pic:cNvPicPr>
                      <a:picLocks noChangeAspect="1"/>
                    </pic:cNvPicPr>
                  </pic:nvPicPr>
                  <pic:blipFill>
                    <a:blip r:embed="rId8"/>
                    <a:stretch>
                      <a:fillRect/>
                    </a:stretch>
                  </pic:blipFill>
                  <pic:spPr>
                    <a:xfrm>
                      <a:off x="0" y="0"/>
                      <a:ext cx="5274310" cy="4107815"/>
                    </a:xfrm>
                    <a:prstGeom prst="rect">
                      <a:avLst/>
                    </a:prstGeom>
                  </pic:spPr>
                </pic:pic>
              </a:graphicData>
            </a:graphic>
          </wp:inline>
        </w:drawing>
      </w:r>
    </w:p>
    <w:p>
      <w:pPr>
        <w:widowControl/>
      </w:pPr>
      <w:r>
        <w:drawing>
          <wp:inline distT="0" distB="0" distL="0" distR="0">
            <wp:extent cx="5274310" cy="4015740"/>
            <wp:effectExtent l="0" t="0" r="2540" b="3810"/>
            <wp:docPr id="59518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86872" name="Picture 1"/>
                    <pic:cNvPicPr>
                      <a:picLocks noChangeAspect="1"/>
                    </pic:cNvPicPr>
                  </pic:nvPicPr>
                  <pic:blipFill>
                    <a:blip r:embed="rId9"/>
                    <a:stretch>
                      <a:fillRect/>
                    </a:stretch>
                  </pic:blipFill>
                  <pic:spPr>
                    <a:xfrm>
                      <a:off x="0" y="0"/>
                      <a:ext cx="5274310" cy="4015740"/>
                    </a:xfrm>
                    <a:prstGeom prst="rect">
                      <a:avLst/>
                    </a:prstGeom>
                  </pic:spPr>
                </pic:pic>
              </a:graphicData>
            </a:graphic>
          </wp:inline>
        </w:drawing>
      </w:r>
    </w:p>
    <w:p>
      <w:pPr>
        <w:widowControl/>
        <w:jc w:val="left"/>
      </w:pPr>
      <w:r>
        <w:drawing>
          <wp:inline distT="0" distB="0" distL="0" distR="0">
            <wp:extent cx="5274310" cy="3611880"/>
            <wp:effectExtent l="0" t="0" r="2540" b="7620"/>
            <wp:docPr id="186790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2457" name="Picture 1"/>
                    <pic:cNvPicPr>
                      <a:picLocks noChangeAspect="1"/>
                    </pic:cNvPicPr>
                  </pic:nvPicPr>
                  <pic:blipFill>
                    <a:blip r:embed="rId10"/>
                    <a:srcRect b="6758"/>
                    <a:stretch>
                      <a:fillRect/>
                    </a:stretch>
                  </pic:blipFill>
                  <pic:spPr>
                    <a:xfrm>
                      <a:off x="0" y="0"/>
                      <a:ext cx="5274310" cy="3612332"/>
                    </a:xfrm>
                    <a:prstGeom prst="rect">
                      <a:avLst/>
                    </a:prstGeom>
                    <a:ln>
                      <a:noFill/>
                    </a:ln>
                  </pic:spPr>
                </pic:pic>
              </a:graphicData>
            </a:graphic>
          </wp:inline>
        </w:drawing>
      </w:r>
    </w:p>
    <w:p>
      <w:pPr>
        <w:widowControl/>
        <w:jc w:val="left"/>
      </w:pPr>
      <w:r>
        <w:drawing>
          <wp:inline distT="0" distB="0" distL="0" distR="0">
            <wp:extent cx="5274310" cy="3680460"/>
            <wp:effectExtent l="0" t="0" r="2540" b="0"/>
            <wp:docPr id="26222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8487" name="Picture 1"/>
                    <pic:cNvPicPr>
                      <a:picLocks noChangeAspect="1"/>
                    </pic:cNvPicPr>
                  </pic:nvPicPr>
                  <pic:blipFill>
                    <a:blip r:embed="rId11"/>
                    <a:stretch>
                      <a:fillRect/>
                    </a:stretch>
                  </pic:blipFill>
                  <pic:spPr>
                    <a:xfrm>
                      <a:off x="0" y="0"/>
                      <a:ext cx="5274310" cy="3680460"/>
                    </a:xfrm>
                    <a:prstGeom prst="rect">
                      <a:avLst/>
                    </a:prstGeom>
                  </pic:spPr>
                </pic:pic>
              </a:graphicData>
            </a:graphic>
          </wp:inline>
        </w:drawing>
      </w:r>
    </w:p>
    <w:p>
      <w:pPr>
        <w:widowControl/>
        <w:jc w:val="center"/>
      </w:pPr>
      <w:r>
        <w:drawing>
          <wp:inline distT="0" distB="0" distL="0" distR="0">
            <wp:extent cx="5274310" cy="3799840"/>
            <wp:effectExtent l="0" t="0" r="2540" b="0"/>
            <wp:docPr id="26717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3888" name="Picture 1"/>
                    <pic:cNvPicPr>
                      <a:picLocks noChangeAspect="1"/>
                    </pic:cNvPicPr>
                  </pic:nvPicPr>
                  <pic:blipFill>
                    <a:blip r:embed="rId12"/>
                    <a:stretch>
                      <a:fillRect/>
                    </a:stretch>
                  </pic:blipFill>
                  <pic:spPr>
                    <a:xfrm>
                      <a:off x="0" y="0"/>
                      <a:ext cx="5274310" cy="3799840"/>
                    </a:xfrm>
                    <a:prstGeom prst="rect">
                      <a:avLst/>
                    </a:prstGeom>
                  </pic:spPr>
                </pic:pic>
              </a:graphicData>
            </a:graphic>
          </wp:inline>
        </w:drawing>
      </w:r>
    </w:p>
    <w:p>
      <w:pPr>
        <w:widowControl/>
        <w:jc w:val="left"/>
      </w:pPr>
      <w:r>
        <w:br w:type="page"/>
      </w:r>
    </w:p>
    <w:p>
      <w:pPr>
        <w:pStyle w:val="10"/>
        <w:widowControl/>
        <w:numPr>
          <w:ilvl w:val="0"/>
          <w:numId w:val="1"/>
        </w:numPr>
        <w:ind w:firstLineChars="0"/>
        <w:jc w:val="left"/>
        <w:rPr>
          <w:rFonts w:ascii="DengXian" w:hAnsi="DengXian" w:eastAsia="DengXian"/>
          <w:sz w:val="22"/>
        </w:rPr>
      </w:pPr>
      <w:r>
        <w:rPr>
          <w:rFonts w:hint="eastAsia" w:ascii="DengXian" w:hAnsi="DengXian" w:eastAsia="DengXian"/>
          <w:sz w:val="22"/>
        </w:rPr>
        <w:t>注册证</w:t>
      </w:r>
    </w:p>
    <w:p>
      <w:pPr>
        <w:widowControl/>
        <w:jc w:val="left"/>
      </w:pPr>
      <w:r>
        <w:drawing>
          <wp:inline distT="0" distB="0" distL="0" distR="0">
            <wp:extent cx="5377180" cy="3256280"/>
            <wp:effectExtent l="0" t="0" r="0" b="1270"/>
            <wp:docPr id="19822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3272" name="Picture 1"/>
                    <pic:cNvPicPr>
                      <a:picLocks noChangeAspect="1"/>
                    </pic:cNvPicPr>
                  </pic:nvPicPr>
                  <pic:blipFill>
                    <a:blip r:embed="rId13"/>
                    <a:stretch>
                      <a:fillRect/>
                    </a:stretch>
                  </pic:blipFill>
                  <pic:spPr>
                    <a:xfrm>
                      <a:off x="0" y="0"/>
                      <a:ext cx="5378962" cy="3257426"/>
                    </a:xfrm>
                    <a:prstGeom prst="rect">
                      <a:avLst/>
                    </a:prstGeom>
                  </pic:spPr>
                </pic:pic>
              </a:graphicData>
            </a:graphic>
          </wp:inline>
        </w:drawing>
      </w:r>
    </w:p>
    <w:tbl>
      <w:tblPr>
        <w:tblStyle w:val="9"/>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0"/>
        <w:gridCol w:w="3402"/>
      </w:tblGrid>
      <w:tr>
        <w:tc>
          <w:tcPr>
            <w:tcW w:w="5240" w:type="dxa"/>
          </w:tcPr>
          <w:p>
            <w:pPr>
              <w:rPr>
                <w:b/>
                <w:bCs/>
              </w:rPr>
            </w:pPr>
            <w:r>
              <w:rPr>
                <w:rFonts w:hint="eastAsia"/>
                <w:b/>
                <w:bCs/>
              </w:rPr>
              <w:t>飞利浦Innovation AI</w:t>
            </w:r>
            <w:r>
              <w:rPr>
                <w:rFonts w:hint="eastAsia"/>
                <w:b/>
                <w:bCs/>
                <w:vertAlign w:val="superscript"/>
              </w:rPr>
              <w:t xml:space="preserve">3 </w:t>
            </w:r>
            <w:r>
              <w:rPr>
                <w:rFonts w:hint="eastAsia"/>
                <w:b/>
                <w:bCs/>
              </w:rPr>
              <w:t>3.0T磁共振</w:t>
            </w:r>
          </w:p>
        </w:tc>
        <w:tc>
          <w:tcPr>
            <w:tcW w:w="3402" w:type="dxa"/>
          </w:tcPr>
          <w:p/>
        </w:tc>
      </w:tr>
      <w:tr>
        <w:tc>
          <w:tcPr>
            <w:tcW w:w="5240" w:type="dxa"/>
          </w:tcPr>
          <w:p>
            <w:r>
              <w:rPr>
                <w:rFonts w:hint="eastAsia"/>
              </w:rPr>
              <w:t>主要特点：</w:t>
            </w:r>
          </w:p>
          <w:p>
            <w:r>
              <w:rPr>
                <w:b/>
                <w:bCs/>
              </w:rPr>
              <w:t>1. Hi-Fi 双射频系统：微弱信号的精准捕获者</w:t>
            </w:r>
          </w:p>
          <w:p>
            <w:r>
              <w:t>行业领先的超低噪声设计，实现-165 dBm/Hz 超低噪声水平，已接近物理噪声极限。该系统专注于信号的"纯净度与一致性"，在代谢成像（如 APT）等对信号敏感度要求极高的应用中，能够有效保留极其微弱的信号，使原本容易被淹没的关键信息得以真实呈现，从而显著提升对早期、微小病灶的检出能力，为临床医生提供更早期、更准确的诊断依据。</w:t>
            </w:r>
          </w:p>
          <w:p>
            <w:r>
              <w:rPr>
                <w:b/>
                <w:bCs/>
              </w:rPr>
              <w:t>2. 零漂移梯度系统：空间编码的极致精准</w:t>
            </w:r>
          </w:p>
          <w:p>
            <w:r>
              <w:t>采用 80/220 高梯度性能，单轴梯度保真度高达 99.999%，确保了对每个信号的精准定位，重建出最真实的影像。这不仅保证了图像的几何准确性，也为定量数据的可靠性奠定了坚实基础，对于需要高度精确测量的临床应用和科研项目具有里程碑式的意义。</w:t>
            </w:r>
          </w:p>
          <w:p>
            <w:r>
              <w:rPr>
                <w:b/>
                <w:bCs/>
              </w:rPr>
              <w:t>3. 双 AI 全新重建架构：物理智能时代的革新</w:t>
            </w:r>
          </w:p>
          <w:p>
            <w:r>
              <w:t>完美融合模型驱动与数据驱动的优势，实现物理保真度与泛化能力的平衡。该架构确保重建结果严格遵循采集到的原始 k 空间数据，有效杜绝了传统 AI 重建可能出现的"幻觉"或平滑掉微小病灶的风险。使用者只需选择"SmartSpeed"，系统即可自动匹配最优融合策略，实现"一键式"高质量成像，同时显著提高跨设备与跨操作员的一致性，大幅降低技师操作水平差异带来的图像质量波动。</w:t>
            </w:r>
          </w:p>
          <w:p>
            <w:r>
              <w:rPr>
                <w:b/>
                <w:bCs/>
              </w:rPr>
              <w:t>4. 智域工作平台：全流程协同的智能引擎</w:t>
            </w:r>
          </w:p>
          <w:p>
            <w:r>
              <w:t>飞利浦在中国首次与国际同步推出的超高端 3.0T 全域 AI 平台。AI 深度融入患者准备、协议选择、扫描执行和后处理的全流程，使磁共振系统从"依赖复杂操作的设备"升级为"能够主动协同的智能助手"。平台结合患者信息与历史操作习惯自动匹配扫描协议，配合双屏多线程架构与强大算力，支持扫描、后处理和下一位患者准备同步进行。EasyScanPlan 3D 智能定位大幅简化复杂部位（尤其是心脏）的检查流程，减少重复扫描；丰富的后处理与高阶应用集成进一步提升定量诊断能力和科研可及性。</w:t>
            </w:r>
          </w:p>
          <w:p>
            <w:r>
              <w:rPr>
                <w:b/>
                <w:bCs/>
              </w:rPr>
              <w:t>5. 持续高质量数据资产：一次检查，持续增值</w:t>
            </w:r>
          </w:p>
          <w:p>
            <w:r>
              <w:t>契合国家"数据要素×医疗健康"行动计划，医疗数据已从"行政资源"转变为医院"核心资产"。Innovation 3.0T 从软硬件层面全面升级，核心目标是为客户提供高质量、高保真的影像数据，构建"可计算、可科研、可交易"的高价值数字资产。上海数据交易所 2025 年已实现多例三甲医院数据产品挂牌交易，充分彰显高质量医疗数据的巨大价值。选择 Innovation 3.0T，意味着每一次检查都将转化为具有长远价值的数据资产，助力医院在数据驱动的医疗新时代中占据领先地位。</w:t>
            </w:r>
          </w:p>
          <w:p>
            <w:r>
              <w:rPr>
                <w:b/>
                <w:bCs/>
              </w:rPr>
              <w:t>6. AI</w:t>
            </w:r>
            <w:r>
              <w:rPr>
                <w:b/>
                <w:bCs/>
                <w:vertAlign w:val="superscript"/>
              </w:rPr>
              <w:t xml:space="preserve">3 </w:t>
            </w:r>
            <w:r>
              <w:rPr>
                <w:b/>
                <w:bCs/>
              </w:rPr>
              <w:t>超脑平台：三脑协同的终极架构</w:t>
            </w:r>
          </w:p>
          <w:p>
            <w:r>
              <w:t>"图形脑"保留高保真 k 空间原始数据与高频细节，确保图像信息完整真实；"数据脑"构建多维透视影像数据中台，为精准诊断提供多维度依据；"联合脑"通过黄金硬件将时空锁定，实现硬件与算法的深度协同，达成图像采集与重建的最优匹配。三脑协同使 AI 嵌入成像全流程，临床可及性高的规范性大范围高清成像将成为医院可增值的数字资产，为药物治疗评估提供重要证据。</w:t>
            </w:r>
          </w:p>
          <w:p/>
        </w:tc>
        <w:tc>
          <w:tcPr>
            <w:tcW w:w="3402" w:type="dxa"/>
          </w:tcPr>
          <w:p>
            <w:r>
              <w:drawing>
                <wp:inline distT="0" distB="0" distL="0" distR="0">
                  <wp:extent cx="2023110" cy="1504315"/>
                  <wp:effectExtent l="0" t="0" r="0" b="635"/>
                  <wp:docPr id="6" name="内容占位符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内容占位符 5"/>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8269" cy="1507901"/>
                          </a:xfrm>
                          <a:prstGeom prst="rect">
                            <a:avLst/>
                          </a:prstGeom>
                        </pic:spPr>
                      </pic:pic>
                    </a:graphicData>
                  </a:graphic>
                </wp:inline>
              </w:drawing>
            </w:r>
          </w:p>
          <w:p>
            <w:pPr>
              <w:ind w:right="420"/>
            </w:pPr>
          </w:p>
          <w:p>
            <w:pPr>
              <w:ind w:right="420"/>
            </w:pPr>
            <w:r>
              <w:rPr>
                <w:rFonts w:hint="eastAsia"/>
                <w:b/>
                <w:bCs/>
              </w:rPr>
              <w:t>产品名称：Innovation AI</w:t>
            </w:r>
            <w:r>
              <w:rPr>
                <w:rFonts w:hint="eastAsia"/>
                <w:b/>
                <w:bCs/>
                <w:vertAlign w:val="superscript"/>
              </w:rPr>
              <w:t>3</w:t>
            </w:r>
          </w:p>
          <w:p>
            <w:pPr>
              <w:ind w:right="420"/>
              <w:rPr>
                <w:b/>
                <w:bCs/>
              </w:rPr>
            </w:pPr>
            <w:r>
              <w:rPr>
                <w:rFonts w:hint="eastAsia"/>
                <w:b/>
                <w:bCs/>
              </w:rPr>
              <w:t>拿证时间：2026年3月</w:t>
            </w:r>
          </w:p>
          <w:p>
            <w:pPr>
              <w:ind w:right="420"/>
            </w:pPr>
          </w:p>
          <w:p>
            <w:pPr>
              <w:ind w:right="420"/>
            </w:pPr>
          </w:p>
        </w:tc>
      </w:tr>
      <w:tr>
        <w:tc>
          <w:tcPr>
            <w:tcW w:w="8642" w:type="dxa"/>
            <w:gridSpan w:val="2"/>
          </w:tcPr>
          <w:p>
            <w:pPr>
              <w:spacing w:line="240" w:lineRule="auto"/>
            </w:pPr>
            <w:r>
              <w:rPr>
                <w:rFonts w:hint="eastAsia"/>
              </w:rPr>
              <w:t>较同类产品优势</w:t>
            </w:r>
          </w:p>
          <w:p>
            <w:pPr>
              <w:spacing w:line="240" w:lineRule="auto"/>
            </w:pPr>
            <w:r>
              <w:rPr>
                <w:rFonts w:hint="eastAsia"/>
              </w:rPr>
              <w:t>飞利浦Innovation AI</w:t>
            </w:r>
            <w:r>
              <w:rPr>
                <w:rFonts w:hint="eastAsia"/>
                <w:vertAlign w:val="superscript"/>
              </w:rPr>
              <w:t>3</w:t>
            </w:r>
            <w:r>
              <w:rPr>
                <w:rFonts w:hint="eastAsia"/>
              </w:rPr>
              <w:t>与西门子大Vida XT、GE Premier XT、联影Ultra处于同一档次</w:t>
            </w:r>
          </w:p>
          <w:p>
            <w:pPr>
              <w:pStyle w:val="10"/>
              <w:numPr>
                <w:ilvl w:val="0"/>
                <w:numId w:val="2"/>
              </w:numPr>
              <w:tabs>
                <w:tab w:val="left" w:pos="720"/>
              </w:tabs>
              <w:spacing w:line="240" w:lineRule="exact"/>
              <w:ind w:left="442" w:hanging="442" w:firstLineChars="0"/>
            </w:pPr>
            <w:r>
              <w:rPr>
                <w:rFonts w:hint="eastAsia"/>
              </w:rPr>
              <w:t>这三款产品都是70厘米孔径，但飞利浦磁体更短、更轻，扫描体验感更舒适；</w:t>
            </w:r>
          </w:p>
          <w:p>
            <w:pPr>
              <w:pStyle w:val="10"/>
              <w:numPr>
                <w:ilvl w:val="0"/>
                <w:numId w:val="2"/>
              </w:numPr>
              <w:spacing w:line="240" w:lineRule="exact"/>
              <w:ind w:left="442" w:hanging="442" w:firstLineChars="0"/>
              <w:jc w:val="left"/>
            </w:pPr>
            <w:r>
              <w:rPr>
                <w:rFonts w:hint="eastAsia"/>
              </w:rPr>
              <w:t>梯度切换率： 飞利浦切换率</w:t>
            </w:r>
            <w:r>
              <w:rPr>
                <w:rFonts w:ascii="微软雅黑" w:hAnsi="微软雅黑" w:eastAsia="微软雅黑"/>
                <w:sz w:val="20"/>
              </w:rPr>
              <w:t>220T/m/s</w:t>
            </w:r>
            <w:r>
              <w:rPr>
                <w:rFonts w:hint="eastAsia"/>
              </w:rPr>
              <w:t xml:space="preserve"> （其他家均为200 </w:t>
            </w:r>
            <w:r>
              <w:rPr>
                <w:rFonts w:ascii="微软雅黑" w:hAnsi="微软雅黑" w:eastAsia="微软雅黑"/>
                <w:sz w:val="20"/>
              </w:rPr>
              <w:t>T/m/s</w:t>
            </w:r>
            <w:r>
              <w:rPr>
                <w:rFonts w:hint="eastAsia"/>
              </w:rPr>
              <w:t>），</w:t>
            </w:r>
            <w:r>
              <w:rPr>
                <w:rFonts w:ascii="微软雅黑" w:hAnsi="微软雅黑" w:eastAsia="微软雅黑"/>
                <w:sz w:val="20"/>
              </w:rPr>
              <w:t>220T/m/s</w:t>
            </w:r>
            <w:r>
              <w:rPr>
                <w:rFonts w:hint="eastAsia"/>
              </w:rPr>
              <w:t>在速度和科研上优势更明显；</w:t>
            </w:r>
          </w:p>
          <w:p>
            <w:pPr>
              <w:pStyle w:val="10"/>
              <w:numPr>
                <w:ilvl w:val="0"/>
                <w:numId w:val="2"/>
              </w:numPr>
              <w:spacing w:line="240" w:lineRule="exact"/>
              <w:ind w:left="442" w:hanging="442" w:firstLineChars="0"/>
              <w:jc w:val="left"/>
            </w:pPr>
            <w:r>
              <w:rPr>
                <w:rFonts w:hint="eastAsia"/>
              </w:rPr>
              <w:t>双源射频：Innovation AI</w:t>
            </w:r>
            <w:r>
              <w:rPr>
                <w:rFonts w:hint="eastAsia"/>
                <w:vertAlign w:val="superscript"/>
              </w:rPr>
              <w:t xml:space="preserve">3  </w:t>
            </w:r>
            <w:r>
              <w:rPr>
                <w:rFonts w:hint="eastAsia"/>
              </w:rPr>
              <w:t>、Premier 和Ultra双源发射技术是标配（多个独立射频放大器），Vida真正的双源技术TrueShape是选配（区别于单源技术Trueform），易超SAR，有灼伤风险和干扰工作进度；</w:t>
            </w:r>
          </w:p>
          <w:p>
            <w:pPr>
              <w:pStyle w:val="10"/>
              <w:numPr>
                <w:ilvl w:val="0"/>
                <w:numId w:val="2"/>
              </w:numPr>
              <w:spacing w:line="240" w:lineRule="exact"/>
              <w:ind w:left="442" w:hanging="442" w:firstLineChars="0"/>
              <w:jc w:val="left"/>
            </w:pPr>
            <w:r>
              <w:rPr>
                <w:rFonts w:hint="eastAsia"/>
              </w:rPr>
              <w:t>智能工作流：Innovation AI</w:t>
            </w:r>
            <w:r>
              <w:rPr>
                <w:rFonts w:hint="eastAsia"/>
                <w:vertAlign w:val="superscript"/>
              </w:rPr>
              <w:t>3</w:t>
            </w:r>
            <w:r>
              <w:rPr>
                <w:rFonts w:hint="eastAsia"/>
              </w:rPr>
              <w:t>搭载下一代全程智驾智能极简工作流，双屏双GPU强大算力支持多任务态同步处理，其他厂家产品无；</w:t>
            </w:r>
          </w:p>
          <w:p>
            <w:pPr>
              <w:pStyle w:val="10"/>
              <w:numPr>
                <w:ilvl w:val="0"/>
                <w:numId w:val="2"/>
              </w:numPr>
              <w:spacing w:line="240" w:lineRule="exact"/>
              <w:ind w:left="442" w:hanging="442" w:firstLineChars="0"/>
              <w:jc w:val="left"/>
            </w:pPr>
            <w:r>
              <w:rPr>
                <w:rFonts w:hint="eastAsia"/>
              </w:rPr>
              <w:t>智能深度学习AI提速降噪技术：Innovation AI</w:t>
            </w:r>
            <w:r>
              <w:rPr>
                <w:rFonts w:hint="eastAsia"/>
                <w:vertAlign w:val="superscript"/>
              </w:rPr>
              <w:t>3</w:t>
            </w:r>
            <w:r>
              <w:rPr>
                <w:rFonts w:hint="eastAsia"/>
              </w:rPr>
              <w:t>最大加速倍数64倍，加速降噪效果更好；其他厂商加速技术如Resolve、DL、ACS等有序列限制，部分仅支持2D序列。</w:t>
            </w:r>
          </w:p>
          <w:p>
            <w:pPr>
              <w:pStyle w:val="10"/>
              <w:numPr>
                <w:ilvl w:val="0"/>
                <w:numId w:val="2"/>
              </w:numPr>
              <w:spacing w:line="240" w:lineRule="exact"/>
              <w:ind w:left="442" w:hanging="442" w:firstLineChars="0"/>
              <w:jc w:val="left"/>
            </w:pPr>
            <w:r>
              <w:rPr>
                <w:rFonts w:hint="eastAsia"/>
              </w:rPr>
              <w:t>其他高级功能：代谢研究平台、3D APT、18秒冠脉等都是其他厂家不具备的。</w:t>
            </w:r>
          </w:p>
        </w:tc>
      </w:tr>
    </w:tbl>
    <w:p/>
    <w:p/>
    <w:p/>
    <w:p>
      <w:pPr>
        <w:pStyle w:val="10"/>
        <w:widowControl/>
        <w:numPr>
          <w:ilvl w:val="0"/>
          <w:numId w:val="1"/>
        </w:numPr>
        <w:ind w:firstLineChars="0"/>
        <w:jc w:val="left"/>
        <w:rPr>
          <w:rFonts w:ascii="DengXian" w:hAnsi="DengXian" w:eastAsia="DengXian"/>
          <w:sz w:val="22"/>
        </w:rPr>
      </w:pPr>
      <w:r>
        <w:rPr>
          <w:rFonts w:hint="eastAsia" w:ascii="DengXian" w:hAnsi="DengXian" w:eastAsia="DengXian"/>
          <w:sz w:val="22"/>
        </w:rPr>
        <w:t>近2年同规格型号设备中标通知书或合同、发票复印件等询价证明材料</w:t>
      </w:r>
    </w:p>
    <w:p>
      <w:pPr>
        <w:pStyle w:val="10"/>
        <w:widowControl/>
        <w:ind w:firstLine="0" w:firstLineChars="0"/>
        <w:jc w:val="left"/>
        <w:rPr>
          <w:rFonts w:ascii="DengXian" w:hAnsi="DengXian" w:eastAsia="DengXian"/>
          <w:sz w:val="22"/>
        </w:rPr>
      </w:pPr>
      <w:r>
        <w:rPr>
          <w:rFonts w:hint="eastAsia" w:ascii="DengXian" w:hAnsi="DengXian" w:eastAsia="DengXian"/>
          <w:sz w:val="22"/>
        </w:rPr>
        <w:t>由于是今年才获得注册证的产品，暂无销售记录</w:t>
      </w:r>
    </w:p>
    <w:p>
      <w:pPr>
        <w:pStyle w:val="10"/>
        <w:widowControl/>
        <w:ind w:firstLine="0" w:firstLineChars="0"/>
        <w:jc w:val="left"/>
        <w:rPr>
          <w:rFonts w:ascii="DengXian" w:hAnsi="DengXian" w:eastAsia="DengXian"/>
          <w:sz w:val="22"/>
        </w:rPr>
      </w:pPr>
    </w:p>
    <w:p>
      <w:pPr>
        <w:pStyle w:val="10"/>
        <w:widowControl/>
        <w:ind w:firstLine="0" w:firstLineChars="0"/>
        <w:jc w:val="left"/>
        <w:rPr>
          <w:rFonts w:ascii="DengXian" w:hAnsi="DengXian" w:eastAsia="DengXian"/>
          <w:sz w:val="22"/>
        </w:rPr>
      </w:pPr>
    </w:p>
    <w:p>
      <w:pPr>
        <w:pStyle w:val="10"/>
        <w:widowControl/>
        <w:numPr>
          <w:ilvl w:val="0"/>
          <w:numId w:val="1"/>
        </w:numPr>
        <w:ind w:firstLineChars="0"/>
        <w:jc w:val="left"/>
        <w:rPr>
          <w:rFonts w:ascii="DengXian" w:hAnsi="DengXian" w:eastAsia="DengXian"/>
          <w:sz w:val="22"/>
        </w:rPr>
      </w:pPr>
      <w:r>
        <w:rPr>
          <w:rFonts w:hint="eastAsia" w:ascii="DengXian" w:hAnsi="DengXian" w:eastAsia="DengXian"/>
          <w:sz w:val="22"/>
        </w:rPr>
        <w:t>推荐配置：</w:t>
      </w:r>
    </w:p>
    <w:p>
      <w:pPr>
        <w:pStyle w:val="10"/>
        <w:widowControl/>
        <w:ind w:left="440" w:firstLine="0" w:firstLineChars="0"/>
        <w:jc w:val="left"/>
        <w:rPr>
          <w:rFonts w:ascii="DengXian" w:hAnsi="DengXian" w:eastAsia="DengXian"/>
          <w:sz w:val="22"/>
        </w:rPr>
      </w:pPr>
      <w:r>
        <w:rPr>
          <w:rFonts w:hint="eastAsia" w:ascii="DengXian" w:hAnsi="DengXian" w:eastAsia="DengXian"/>
          <w:sz w:val="22"/>
        </w:rPr>
        <w:t>-3D APT成像（代谢成像，独家NMPA获批）</w:t>
      </w:r>
    </w:p>
    <w:p>
      <w:pPr>
        <w:pStyle w:val="10"/>
        <w:widowControl/>
        <w:ind w:left="440" w:firstLine="0" w:firstLineChars="0"/>
        <w:jc w:val="left"/>
        <w:rPr>
          <w:rFonts w:ascii="DengXian" w:hAnsi="DengXian" w:eastAsia="DengXian"/>
          <w:sz w:val="22"/>
        </w:rPr>
      </w:pPr>
      <w:r>
        <w:rPr>
          <w:rFonts w:hint="eastAsia" w:ascii="DengXian" w:hAnsi="DengXian" w:eastAsia="DengXian"/>
          <w:sz w:val="22"/>
        </w:rPr>
        <w:t>-不打药冠脉MRA （独家技术）</w:t>
      </w:r>
    </w:p>
    <w:p>
      <w:pPr>
        <w:pStyle w:val="10"/>
        <w:widowControl/>
        <w:ind w:left="440" w:firstLine="0" w:firstLineChars="0"/>
        <w:jc w:val="left"/>
        <w:rPr>
          <w:rFonts w:ascii="DengXian" w:hAnsi="DengXian" w:eastAsia="DengXian"/>
          <w:sz w:val="22"/>
        </w:rPr>
      </w:pPr>
      <w:r>
        <w:rPr>
          <w:rFonts w:hint="eastAsia" w:ascii="DengXian" w:hAnsi="DengXian" w:eastAsia="DengXian"/>
          <w:sz w:val="22"/>
        </w:rPr>
        <w:t>-无创心肌定量成像（T1/T2/T2*mapping）</w:t>
      </w:r>
    </w:p>
    <w:p>
      <w:pPr>
        <w:pStyle w:val="10"/>
        <w:widowControl/>
        <w:ind w:left="440" w:firstLine="0" w:firstLineChars="0"/>
        <w:jc w:val="left"/>
        <w:rPr>
          <w:rFonts w:ascii="DengXian" w:hAnsi="DengXian" w:eastAsia="DengXian"/>
          <w:sz w:val="22"/>
        </w:rPr>
      </w:pPr>
      <w:r>
        <w:rPr>
          <w:rFonts w:hint="eastAsia" w:ascii="DengXian" w:hAnsi="DengXian" w:eastAsia="DengXian"/>
          <w:sz w:val="22"/>
        </w:rPr>
        <w:t>-SmartSpeed深度学习加速技术</w:t>
      </w:r>
    </w:p>
    <w:p>
      <w:pPr>
        <w:pStyle w:val="10"/>
        <w:widowControl/>
        <w:ind w:left="440" w:firstLine="0" w:firstLineChars="0"/>
        <w:jc w:val="left"/>
        <w:rPr>
          <w:rFonts w:ascii="DengXian" w:hAnsi="DengXian" w:eastAsia="DengXian"/>
          <w:sz w:val="22"/>
        </w:rPr>
      </w:pPr>
      <w:r>
        <w:rPr>
          <w:rFonts w:hint="eastAsia" w:ascii="DengXian" w:hAnsi="DengXian" w:eastAsia="DengXian"/>
          <w:sz w:val="22"/>
        </w:rPr>
        <w:t>-SmartSpace智域工作平台</w:t>
      </w:r>
    </w:p>
    <w:p>
      <w:pPr>
        <w:pStyle w:val="10"/>
        <w:widowControl/>
        <w:ind w:left="440" w:firstLine="0" w:firstLineChars="0"/>
        <w:jc w:val="left"/>
        <w:rPr>
          <w:rFonts w:ascii="DengXian" w:hAnsi="DengXian" w:eastAsia="DengXian"/>
          <w:sz w:val="22"/>
        </w:rPr>
      </w:pPr>
      <w:r>
        <w:rPr>
          <w:rFonts w:hint="eastAsia" w:ascii="DengXian" w:hAnsi="DengXian" w:eastAsia="DengXian"/>
          <w:sz w:val="22"/>
        </w:rPr>
        <w:t>-Multitransmit4D多源射频发射技术</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Zhongsong">
    <w:altName w:val="苹方-简"/>
    <w:panose1 w:val="00000000000000000000"/>
    <w:charset w:val="86"/>
    <w:family w:val="auto"/>
    <w:pitch w:val="default"/>
    <w:sig w:usb0="00000000" w:usb1="00000000" w:usb2="00000010" w:usb3="00000000" w:csb0="0004009F" w:csb1="00000000"/>
  </w:font>
  <w:font w:name="DengXian">
    <w:altName w:val="汉仪中等线KW"/>
    <w:panose1 w:val="02010600030101010101"/>
    <w:charset w:val="86"/>
    <w:family w:val="auto"/>
    <w:pitch w:val="default"/>
    <w:sig w:usb0="00000000" w:usb1="00000000" w:usb2="00000016" w:usb3="00000000" w:csb0="0004000F" w:csb1="00000000"/>
  </w:font>
  <w:font w:name="Wingdings">
    <w:panose1 w:val="05000000000000000000"/>
    <w:charset w:val="02"/>
    <w:family w:val="auto"/>
    <w:pitch w:val="default"/>
    <w:sig w:usb0="00000000" w:usb1="00000000" w:usb2="00000000" w:usb3="00000000" w:csb0="80000000"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150D430C"/>
    <w:multiLevelType w:val="multilevel"/>
    <w:tmpl w:val="150D430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3DF3820"/>
    <w:multiLevelType w:val="multilevel"/>
    <w:tmpl w:val="63DF3820"/>
    <w:lvl w:ilvl="0" w:tentative="0">
      <w:start w:val="1"/>
      <w:numFmt w:val="bullet"/>
      <w:lvlText w:val=""/>
      <w:lvlPicBulletId w:val="0"/>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12A"/>
    <w:rsid w:val="00006E74"/>
    <w:rsid w:val="00031955"/>
    <w:rsid w:val="00042D69"/>
    <w:rsid w:val="00043F03"/>
    <w:rsid w:val="000579E8"/>
    <w:rsid w:val="00057BF7"/>
    <w:rsid w:val="00081B0D"/>
    <w:rsid w:val="0009713C"/>
    <w:rsid w:val="000A5F11"/>
    <w:rsid w:val="000E74AD"/>
    <w:rsid w:val="000E763E"/>
    <w:rsid w:val="000F265B"/>
    <w:rsid w:val="000F5117"/>
    <w:rsid w:val="0011211A"/>
    <w:rsid w:val="0011406D"/>
    <w:rsid w:val="0012012A"/>
    <w:rsid w:val="0014310C"/>
    <w:rsid w:val="00144873"/>
    <w:rsid w:val="00170345"/>
    <w:rsid w:val="001C60A1"/>
    <w:rsid w:val="001E6FC4"/>
    <w:rsid w:val="00205156"/>
    <w:rsid w:val="0023486F"/>
    <w:rsid w:val="002435AE"/>
    <w:rsid w:val="002705D1"/>
    <w:rsid w:val="002A7096"/>
    <w:rsid w:val="002D056D"/>
    <w:rsid w:val="002E2885"/>
    <w:rsid w:val="00300349"/>
    <w:rsid w:val="00300AE3"/>
    <w:rsid w:val="00315D19"/>
    <w:rsid w:val="00325D47"/>
    <w:rsid w:val="00331269"/>
    <w:rsid w:val="0033430B"/>
    <w:rsid w:val="003409AE"/>
    <w:rsid w:val="0034479E"/>
    <w:rsid w:val="00350576"/>
    <w:rsid w:val="00373276"/>
    <w:rsid w:val="003A5D6C"/>
    <w:rsid w:val="003B279B"/>
    <w:rsid w:val="003C1C4A"/>
    <w:rsid w:val="003E513A"/>
    <w:rsid w:val="0040393E"/>
    <w:rsid w:val="00407D1C"/>
    <w:rsid w:val="00414A40"/>
    <w:rsid w:val="00416DF2"/>
    <w:rsid w:val="00453D92"/>
    <w:rsid w:val="0045468F"/>
    <w:rsid w:val="00463014"/>
    <w:rsid w:val="00467141"/>
    <w:rsid w:val="0049571F"/>
    <w:rsid w:val="00495B82"/>
    <w:rsid w:val="004A4CE1"/>
    <w:rsid w:val="004C12E6"/>
    <w:rsid w:val="004D55AD"/>
    <w:rsid w:val="004E10FB"/>
    <w:rsid w:val="00537D59"/>
    <w:rsid w:val="00541D02"/>
    <w:rsid w:val="00543CD0"/>
    <w:rsid w:val="00551965"/>
    <w:rsid w:val="005601C8"/>
    <w:rsid w:val="00565C98"/>
    <w:rsid w:val="005C5F7B"/>
    <w:rsid w:val="006025A6"/>
    <w:rsid w:val="00602B53"/>
    <w:rsid w:val="00603111"/>
    <w:rsid w:val="00610069"/>
    <w:rsid w:val="00624CF2"/>
    <w:rsid w:val="00634AD9"/>
    <w:rsid w:val="00677B4B"/>
    <w:rsid w:val="0068544A"/>
    <w:rsid w:val="00691DC2"/>
    <w:rsid w:val="006C4F95"/>
    <w:rsid w:val="00716FE5"/>
    <w:rsid w:val="00717CD7"/>
    <w:rsid w:val="007256C5"/>
    <w:rsid w:val="00745260"/>
    <w:rsid w:val="0076737E"/>
    <w:rsid w:val="007732AE"/>
    <w:rsid w:val="00784F6B"/>
    <w:rsid w:val="007D60FE"/>
    <w:rsid w:val="007E680F"/>
    <w:rsid w:val="0081390B"/>
    <w:rsid w:val="008359A3"/>
    <w:rsid w:val="00842B3B"/>
    <w:rsid w:val="008464E2"/>
    <w:rsid w:val="00847665"/>
    <w:rsid w:val="0085385A"/>
    <w:rsid w:val="00863DA2"/>
    <w:rsid w:val="008816D1"/>
    <w:rsid w:val="008A0297"/>
    <w:rsid w:val="008A1C71"/>
    <w:rsid w:val="008A595A"/>
    <w:rsid w:val="008F0FE7"/>
    <w:rsid w:val="009345E8"/>
    <w:rsid w:val="00943ACF"/>
    <w:rsid w:val="0096707F"/>
    <w:rsid w:val="00984056"/>
    <w:rsid w:val="009A1FAC"/>
    <w:rsid w:val="009D0D09"/>
    <w:rsid w:val="009D0F8B"/>
    <w:rsid w:val="009F6F8E"/>
    <w:rsid w:val="00A157B9"/>
    <w:rsid w:val="00A1718C"/>
    <w:rsid w:val="00A32275"/>
    <w:rsid w:val="00A40059"/>
    <w:rsid w:val="00A606C6"/>
    <w:rsid w:val="00A647C0"/>
    <w:rsid w:val="00A733D3"/>
    <w:rsid w:val="00A81F91"/>
    <w:rsid w:val="00A9111D"/>
    <w:rsid w:val="00AD647B"/>
    <w:rsid w:val="00B01DE1"/>
    <w:rsid w:val="00B15CA7"/>
    <w:rsid w:val="00B22768"/>
    <w:rsid w:val="00B267DC"/>
    <w:rsid w:val="00B40B81"/>
    <w:rsid w:val="00B41A2D"/>
    <w:rsid w:val="00B55F0B"/>
    <w:rsid w:val="00B66FC7"/>
    <w:rsid w:val="00B670BD"/>
    <w:rsid w:val="00B736E3"/>
    <w:rsid w:val="00B827C7"/>
    <w:rsid w:val="00BA68B3"/>
    <w:rsid w:val="00BB02FD"/>
    <w:rsid w:val="00BC022F"/>
    <w:rsid w:val="00BD0FD9"/>
    <w:rsid w:val="00BD6EF4"/>
    <w:rsid w:val="00BD7496"/>
    <w:rsid w:val="00BE63DF"/>
    <w:rsid w:val="00C03078"/>
    <w:rsid w:val="00C04727"/>
    <w:rsid w:val="00C07EA5"/>
    <w:rsid w:val="00C25317"/>
    <w:rsid w:val="00C613BC"/>
    <w:rsid w:val="00C656A1"/>
    <w:rsid w:val="00C93353"/>
    <w:rsid w:val="00CC46D7"/>
    <w:rsid w:val="00CD0C5B"/>
    <w:rsid w:val="00CD7076"/>
    <w:rsid w:val="00CE07B2"/>
    <w:rsid w:val="00CE2E1A"/>
    <w:rsid w:val="00D174CB"/>
    <w:rsid w:val="00D218A0"/>
    <w:rsid w:val="00D31832"/>
    <w:rsid w:val="00D43031"/>
    <w:rsid w:val="00D54BC6"/>
    <w:rsid w:val="00D9130C"/>
    <w:rsid w:val="00DC1313"/>
    <w:rsid w:val="00DD691A"/>
    <w:rsid w:val="00DE3BD8"/>
    <w:rsid w:val="00E32172"/>
    <w:rsid w:val="00E36F1A"/>
    <w:rsid w:val="00E458A0"/>
    <w:rsid w:val="00E52DF5"/>
    <w:rsid w:val="00E636B1"/>
    <w:rsid w:val="00E6428D"/>
    <w:rsid w:val="00E7669E"/>
    <w:rsid w:val="00E77506"/>
    <w:rsid w:val="00E776C9"/>
    <w:rsid w:val="00E84373"/>
    <w:rsid w:val="00EA2D6E"/>
    <w:rsid w:val="00EA67E4"/>
    <w:rsid w:val="00ED7042"/>
    <w:rsid w:val="00EE357F"/>
    <w:rsid w:val="00EF7D0B"/>
    <w:rsid w:val="00F04CD3"/>
    <w:rsid w:val="00F6308B"/>
    <w:rsid w:val="00F67BDA"/>
    <w:rsid w:val="00FC4399"/>
    <w:rsid w:val="00FC4A56"/>
    <w:rsid w:val="00FE5392"/>
    <w:rsid w:val="00FF2637"/>
    <w:rsid w:val="00FF404C"/>
    <w:rsid w:val="00FF621C"/>
    <w:rsid w:val="289245C9"/>
    <w:rsid w:val="4ABFC878"/>
    <w:rsid w:val="4E776CBA"/>
    <w:rsid w:val="5F9E73EC"/>
    <w:rsid w:val="9D365D0B"/>
    <w:rsid w:val="BFEEDA9E"/>
    <w:rsid w:val="DABD0C9B"/>
    <w:rsid w:val="DCABBADC"/>
    <w:rsid w:val="EB7D581D"/>
    <w:rsid w:val="FFFFD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rPr>
      <w:sz w:val="18"/>
      <w:szCs w:val="18"/>
    </w:rPr>
  </w:style>
  <w:style w:type="paragraph" w:styleId="5">
    <w:name w:val="Body Text"/>
    <w:basedOn w:val="1"/>
    <w:link w:val="16"/>
    <w:semiHidden/>
    <w:unhideWhenUsed/>
    <w:uiPriority w:val="99"/>
    <w:pPr>
      <w:spacing w:after="120"/>
    </w:pPr>
  </w:style>
  <w:style w:type="paragraph" w:styleId="6">
    <w:name w:val="footer"/>
    <w:basedOn w:val="1"/>
    <w:link w:val="14"/>
    <w:unhideWhenUsed/>
    <w:uiPriority w:val="99"/>
    <w:pPr>
      <w:tabs>
        <w:tab w:val="center" w:pos="4153"/>
        <w:tab w:val="right" w:pos="8306"/>
      </w:tabs>
      <w:snapToGrid w:val="0"/>
      <w:spacing w:line="240" w:lineRule="auto"/>
      <w:jc w:val="left"/>
    </w:pPr>
    <w:rPr>
      <w:sz w:val="18"/>
      <w:szCs w:val="18"/>
    </w:rPr>
  </w:style>
  <w:style w:type="paragraph" w:styleId="7">
    <w:name w:val="header"/>
    <w:basedOn w:val="1"/>
    <w:link w:val="13"/>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character" w:styleId="8">
    <w:name w:val="Hyperlink"/>
    <w:basedOn w:val="2"/>
    <w:unhideWhenUsed/>
    <w:uiPriority w:val="99"/>
    <w:rPr>
      <w:color w:val="0000FF"/>
      <w:u w:val="single"/>
    </w:rPr>
  </w:style>
  <w:style w:type="table" w:styleId="9">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firstLine="420" w:firstLineChars="200"/>
    </w:pPr>
  </w:style>
  <w:style w:type="character" w:customStyle="1" w:styleId="11">
    <w:name w:val="Balloon Text Char"/>
    <w:basedOn w:val="2"/>
    <w:link w:val="4"/>
    <w:semiHidden/>
    <w:uiPriority w:val="99"/>
    <w:rPr>
      <w:sz w:val="18"/>
      <w:szCs w:val="18"/>
    </w:rPr>
  </w:style>
  <w:style w:type="paragraph" w:customStyle="1" w:styleId="12">
    <w:name w:val="Default"/>
    <w:uiPriority w:val="0"/>
    <w:pPr>
      <w:autoSpaceDE w:val="0"/>
      <w:autoSpaceDN w:val="0"/>
      <w:adjustRightInd w:val="0"/>
    </w:pPr>
    <w:rPr>
      <w:rFonts w:ascii="STZhongsong" w:eastAsia="STZhongsong" w:cs="STZhongsong" w:hAnsiTheme="minorHAnsi"/>
      <w:color w:val="000000"/>
      <w:sz w:val="24"/>
      <w:szCs w:val="24"/>
      <w:lang w:val="en-US" w:eastAsia="zh-CN" w:bidi="ar-SA"/>
    </w:rPr>
  </w:style>
  <w:style w:type="character" w:customStyle="1" w:styleId="13">
    <w:name w:val="Header Char"/>
    <w:basedOn w:val="2"/>
    <w:link w:val="7"/>
    <w:uiPriority w:val="99"/>
    <w:rPr>
      <w:kern w:val="2"/>
      <w:sz w:val="18"/>
      <w:szCs w:val="18"/>
    </w:rPr>
  </w:style>
  <w:style w:type="character" w:customStyle="1" w:styleId="14">
    <w:name w:val="Footer Char"/>
    <w:basedOn w:val="2"/>
    <w:link w:val="6"/>
    <w:uiPriority w:val="99"/>
    <w:rPr>
      <w:kern w:val="2"/>
      <w:sz w:val="18"/>
      <w:szCs w:val="18"/>
    </w:rPr>
  </w:style>
  <w:style w:type="paragraph" w:customStyle="1" w:styleId="15">
    <w:name w:val="First Paragraph"/>
    <w:basedOn w:val="5"/>
    <w:next w:val="5"/>
    <w:qFormat/>
    <w:uiPriority w:val="0"/>
    <w:pPr>
      <w:widowControl/>
      <w:spacing w:before="180" w:after="180" w:line="240" w:lineRule="auto"/>
      <w:jc w:val="left"/>
    </w:pPr>
    <w:rPr>
      <w:kern w:val="0"/>
      <w:sz w:val="24"/>
      <w:szCs w:val="24"/>
      <w:lang w:eastAsia="en-US"/>
    </w:rPr>
  </w:style>
  <w:style w:type="character" w:customStyle="1" w:styleId="16">
    <w:name w:val="Body Text Char"/>
    <w:basedOn w:val="2"/>
    <w:link w:val="5"/>
    <w:semiHidden/>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10</Pages>
  <Words>616</Words>
  <Characters>3514</Characters>
  <Lines>29</Lines>
  <Paragraphs>8</Paragraphs>
  <TotalTime>0</TotalTime>
  <ScaleCrop>false</ScaleCrop>
  <LinksUpToDate>false</LinksUpToDate>
  <CharactersWithSpaces>4122</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2026-05-01T14:08:00Z</dcterms:created>
  <dc:creator>Windows User</dc:creator>
  <cp:lastModifiedBy>爱照护 丁勇</cp:lastModifiedBy>
  <cp:lastPrinted>2020-11-18T09:42:00Z</cp:lastPrinted>
  <dcterms:modified xsi:type="dcterms:W3CDTF">2026-05-03T14:25:57Z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1033-6.7.1.8828</vt:lpwstr>
  </property>
  <property fmtid="{D5CDD505-2E9C-101B-9397-08002B2CF9AE}" pid="3" name="ICV">
    <vt:lpwstr>99814A9A9DE58A6E75EAF6694B2BB9A8_43</vt:lpwstr>
  </property>
</Properties>
</file>