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500"/>
        <w:jc w:val="center"/>
      </w:pPr>
      <w:r>
        <w:drawing>
          <wp:inline distT="0" distB="0" distL="0" distR="0">
            <wp:extent cx="2476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057400"/>
                    </a:xfrm>
                    <a:prstGeom prst="rect">
                      <a:avLst/>
                    </a:prstGeom>
                  </pic:spPr>
                </pic:pic>
              </a:graphicData>
            </a:graphic>
          </wp:inline>
        </w:drawing>
      </w:r>
    </w:p>
    <w:p>
      <w:pPr>
        <w:spacing w:after="120"/>
        <w:jc w:val="center"/>
      </w:pPr>
      <w:r>
        <w:rPr>
          <w:rFonts w:ascii="Arial" w:cs="Arial" w:eastAsia="Arial" w:hAnsi="Arial"/>
          <w:b/>
          <w:bCs/>
          <w:color w:val="052439"/>
          <w:spacing w:val="20"/>
          <w:sz w:val="52"/>
          <w:szCs w:val="52"/>
        </w:rPr>
        <w:t xml:space="preserve">BRAND GUIDE</w:t>
      </w:r>
    </w:p>
    <w:p>
      <w:pPr>
        <w:spacing w:after="700"/>
        <w:jc w:val="center"/>
      </w:pPr>
      <w:r>
        <w:rPr>
          <w:rFonts w:ascii="Arial" w:cs="Arial" w:eastAsia="Arial" w:hAnsi="Arial"/>
          <w:b/>
          <w:bCs/>
          <w:color w:val="E0705D"/>
          <w:sz w:val="24"/>
          <w:szCs w:val="24"/>
        </w:rPr>
        <w:t xml:space="preserve">Visual &amp; Verbal Identity Standards</w:t>
      </w:r>
    </w:p>
    <w:p>
      <w:pPr>
        <w:spacing w:after="60"/>
        <w:jc w:val="center"/>
      </w:pPr>
      <w:r>
        <w:rPr>
          <w:rFonts w:ascii="Arial" w:cs="Arial" w:eastAsia="Arial" w:hAnsi="Arial"/>
          <w:b/>
          <w:bCs/>
          <w:color w:val="1A1A1A"/>
          <w:sz w:val="22"/>
          <w:szCs w:val="22"/>
        </w:rPr>
        <w:t xml:space="preserve">The Modern CoS, LLC</w:t>
      </w:r>
    </w:p>
    <w:p>
      <w:pPr>
        <w:spacing w:after="60"/>
        <w:jc w:val="center"/>
      </w:pPr>
      <w:r>
        <w:rPr>
          <w:rFonts w:ascii="Arial" w:cs="Arial" w:eastAsia="Arial" w:hAnsi="Arial"/>
          <w:color w:val="5C5C5C"/>
          <w:sz w:val="20"/>
          <w:szCs w:val="20"/>
        </w:rPr>
        <w:t xml:space="preserve">Prepared for Tina Biello, Founder</w:t>
      </w:r>
    </w:p>
    <w:p>
      <w:pPr>
        <w:spacing w:after="60"/>
        <w:jc w:val="center"/>
      </w:pPr>
      <w:r>
        <w:rPr>
          <w:rFonts w:ascii="Arial" w:cs="Arial" w:eastAsia="Arial" w:hAnsi="Arial"/>
          <w:color w:val="5C5C5C"/>
          <w:sz w:val="20"/>
          <w:szCs w:val="20"/>
        </w:rPr>
        <w:t xml:space="preserve">Version 1.0  •  July 2026</w:t>
      </w:r>
    </w:p>
    <w:p>
      <w:pPr>
        <w:spacing w:before="900"/>
        <w:jc w:val="center"/>
      </w:pPr>
      <w:r>
        <w:rPr>
          <w:rFonts w:ascii="Arial" w:cs="Arial" w:eastAsia="Arial" w:hAnsi="Arial"/>
          <w:i/>
          <w:iCs/>
          <w:color w:val="5C5C5C"/>
          <w:sz w:val="16"/>
          <w:szCs w:val="16"/>
        </w:rPr>
        <w:t xml:space="preserve">Internal reference document. Update as the brand evolves.</w:t>
      </w:r>
    </w:p>
    <w:p>
      <w:r>
        <w:br w:type="page"/>
      </w:r>
    </w:p>
    <w:p>
      <w:pPr>
        <w:spacing w:after="120" w:before="0"/>
      </w:pPr>
      <w:r>
        <w:rPr>
          <w:rFonts w:ascii="Arial" w:cs="Arial" w:eastAsia="Arial" w:hAnsi="Arial"/>
          <w:b/>
          <w:bCs/>
          <w:color w:val="E0705D"/>
          <w:spacing w:val="24"/>
          <w:sz w:val="18"/>
          <w:szCs w:val="18"/>
        </w:rPr>
        <w:t xml:space="preserve">SECTION 1</w:t>
      </w:r>
    </w:p>
    <w:p>
      <w:pPr>
        <w:pStyle w:val="Heading1"/>
        <w:spacing w:after="240" w:before="0"/>
      </w:pPr>
      <w:r>
        <w:rPr>
          <w:rFonts w:ascii="Arial" w:cs="Arial" w:eastAsia="Arial" w:hAnsi="Arial"/>
          <w:b/>
          <w:bCs/>
          <w:color w:val="052439"/>
          <w:sz w:val="40"/>
          <w:szCs w:val="40"/>
        </w:rPr>
        <w:t xml:space="preserve">Brand Foundation</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Positioning Statement</w:t>
      </w:r>
    </w:p>
    <w:p>
      <w:pPr>
        <w:spacing w:after="200" w:before="0" w:line="300"/>
      </w:pPr>
      <w:r>
        <w:rPr>
          <w:rFonts w:ascii="Arial" w:cs="Arial" w:eastAsia="Arial" w:hAnsi="Arial"/>
          <w:i w:val="false"/>
          <w:iCs w:val="false"/>
          <w:color w:val="1A1A1A"/>
          <w:sz w:val="21"/>
          <w:szCs w:val="21"/>
        </w:rPr>
        <w:t xml:space="preserve">The Modern CoS is an operations advisory firm powered by AI. We help small businesses work smarter, not harder, through practical AI, operational excellence, and systems that create lasting productivity and freedom.</w:t>
      </w:r>
    </w:p>
    <w:p>
      <w:pPr>
        <w:pStyle w:val="Heading2"/>
        <w:spacing w:after="160" w:before="320"/>
      </w:pPr>
      <w:r>
        <w:rPr>
          <w:rFonts w:ascii="Arial" w:cs="Arial" w:eastAsia="Arial" w:hAnsi="Arial"/>
          <w:b/>
          <w:bCs/>
          <w:color w:val="052439"/>
          <w:sz w:val="26"/>
          <w:szCs w:val="26"/>
        </w:rPr>
        <w:t xml:space="preserve">Mission</w:t>
      </w:r>
    </w:p>
    <w:p>
      <w:pPr>
        <w:spacing w:after="200" w:before="0" w:line="300"/>
      </w:pPr>
      <w:r>
        <w:rPr>
          <w:rFonts w:ascii="Arial" w:cs="Arial" w:eastAsia="Arial" w:hAnsi="Arial"/>
          <w:i w:val="false"/>
          <w:iCs w:val="false"/>
          <w:color w:val="1A1A1A"/>
          <w:sz w:val="21"/>
          <w:szCs w:val="21"/>
        </w:rPr>
        <w:t xml:space="preserve">Help small businesses work smarter, not harder, through practical AI and operational excellence.</w:t>
      </w:r>
    </w:p>
    <w:p>
      <w:pPr>
        <w:pStyle w:val="Heading2"/>
        <w:spacing w:after="160" w:before="320"/>
      </w:pPr>
      <w:r>
        <w:rPr>
          <w:rFonts w:ascii="Arial" w:cs="Arial" w:eastAsia="Arial" w:hAnsi="Arial"/>
          <w:b/>
          <w:bCs/>
          <w:color w:val="052439"/>
          <w:sz w:val="26"/>
          <w:szCs w:val="26"/>
        </w:rPr>
        <w:t xml:space="preserve">Vision</w:t>
      </w:r>
    </w:p>
    <w:p>
      <w:pPr>
        <w:spacing w:after="200" w:before="0" w:line="300"/>
      </w:pPr>
      <w:r>
        <w:rPr>
          <w:rFonts w:ascii="Arial" w:cs="Arial" w:eastAsia="Arial" w:hAnsi="Arial"/>
          <w:i w:val="false"/>
          <w:iCs w:val="false"/>
          <w:color w:val="1A1A1A"/>
          <w:sz w:val="21"/>
          <w:szCs w:val="21"/>
        </w:rPr>
        <w:t xml:space="preserve">Become the trusted operational partner for small businesses across the United States, empowering owners to replace chaos with clarity through practical AI, streamlined operations, and systems that give them the freedom to focus on growing their business rather than just running it.</w:t>
      </w:r>
    </w:p>
    <w:p>
      <w:pPr>
        <w:pStyle w:val="Heading2"/>
        <w:spacing w:after="160" w:before="320"/>
      </w:pPr>
      <w:r>
        <w:rPr>
          <w:rFonts w:ascii="Arial" w:cs="Arial" w:eastAsia="Arial" w:hAnsi="Arial"/>
          <w:b/>
          <w:bCs/>
          <w:color w:val="052439"/>
          <w:sz w:val="26"/>
          <w:szCs w:val="26"/>
        </w:rPr>
        <w:t xml:space="preserve">Brand Promise</w:t>
      </w:r>
    </w:p>
    <w:p>
      <w:pPr>
        <w:spacing w:after="200" w:before="0" w:line="300"/>
      </w:pPr>
      <w:r>
        <w:rPr>
          <w:rFonts w:ascii="Arial" w:cs="Arial" w:eastAsia="Arial" w:hAnsi="Arial"/>
          <w:i w:val="false"/>
          <w:iCs w:val="false"/>
          <w:color w:val="1A1A1A"/>
          <w:sz w:val="21"/>
          <w:szCs w:val="21"/>
        </w:rPr>
        <w:t xml:space="preserve">Every recommendation must save time, reduce complexity, or improve clarity. If it doesn't accomplish one of those, it doesn't get recommended.</w:t>
      </w:r>
    </w:p>
    <w:p>
      <w:pPr>
        <w:pStyle w:val="Heading2"/>
        <w:spacing w:after="160" w:before="320"/>
      </w:pPr>
      <w:r>
        <w:rPr>
          <w:rFonts w:ascii="Arial" w:cs="Arial" w:eastAsia="Arial" w:hAnsi="Arial"/>
          <w:b/>
          <w:bCs/>
          <w:color w:val="052439"/>
          <w:sz w:val="26"/>
          <w:szCs w:val="26"/>
        </w:rPr>
        <w:t xml:space="preserve">Core Values</w:t>
      </w:r>
    </w:p>
    <w:p>
      <w:pPr>
        <w:pStyle w:val="ListParagraph"/>
        <w:numPr>
          <w:ilvl w:val="0"/>
          <w:numId w:val="1"/>
        </w:numPr>
        <w:spacing w:after="120" w:line="290"/>
      </w:pPr>
      <w:r>
        <w:rPr>
          <w:rFonts w:ascii="Arial" w:cs="Arial" w:eastAsia="Arial" w:hAnsi="Arial"/>
          <w:color w:val="1A1A1A"/>
          <w:sz w:val="21"/>
          <w:szCs w:val="21"/>
        </w:rPr>
        <w:t xml:space="preserve">Practical over trendy — solutions solve real business problems, not just showcase new technology.</w:t>
      </w:r>
    </w:p>
    <w:p>
      <w:pPr>
        <w:pStyle w:val="ListParagraph"/>
        <w:numPr>
          <w:ilvl w:val="0"/>
          <w:numId w:val="1"/>
        </w:numPr>
        <w:spacing w:after="120" w:line="290"/>
      </w:pPr>
      <w:r>
        <w:rPr>
          <w:rFonts w:ascii="Arial" w:cs="Arial" w:eastAsia="Arial" w:hAnsi="Arial"/>
          <w:color w:val="1A1A1A"/>
          <w:sz w:val="21"/>
          <w:szCs w:val="21"/>
        </w:rPr>
        <w:t xml:space="preserve">Systems create productive freedom — well-designed systems reduce stress and free owners to focus on what matters most.</w:t>
      </w:r>
    </w:p>
    <w:p>
      <w:pPr>
        <w:pStyle w:val="ListParagraph"/>
        <w:numPr>
          <w:ilvl w:val="0"/>
          <w:numId w:val="1"/>
        </w:numPr>
        <w:spacing w:after="120" w:line="290"/>
      </w:pPr>
      <w:r>
        <w:rPr>
          <w:rFonts w:ascii="Arial" w:cs="Arial" w:eastAsia="Arial" w:hAnsi="Arial"/>
          <w:color w:val="1A1A1A"/>
          <w:sz w:val="21"/>
          <w:szCs w:val="21"/>
        </w:rPr>
        <w:t xml:space="preserve">AI should simplify work — technology should remove complexity, not create it.</w:t>
      </w:r>
    </w:p>
    <w:p>
      <w:pPr>
        <w:pStyle w:val="ListParagraph"/>
        <w:numPr>
          <w:ilvl w:val="0"/>
          <w:numId w:val="1"/>
        </w:numPr>
        <w:spacing w:after="120" w:line="290"/>
      </w:pPr>
      <w:r>
        <w:rPr>
          <w:rFonts w:ascii="Arial" w:cs="Arial" w:eastAsia="Arial" w:hAnsi="Arial"/>
          <w:color w:val="1A1A1A"/>
          <w:sz w:val="21"/>
          <w:szCs w:val="21"/>
        </w:rPr>
        <w:t xml:space="preserve">Relationships before revenue — trust is built through honesty, service, and long-term partnership.</w:t>
      </w:r>
    </w:p>
    <w:p>
      <w:pPr>
        <w:pStyle w:val="ListParagraph"/>
        <w:numPr>
          <w:ilvl w:val="0"/>
          <w:numId w:val="1"/>
        </w:numPr>
        <w:spacing w:after="120" w:line="290"/>
      </w:pPr>
      <w:r>
        <w:rPr>
          <w:rFonts w:ascii="Arial" w:cs="Arial" w:eastAsia="Arial" w:hAnsi="Arial"/>
          <w:color w:val="1A1A1A"/>
          <w:sz w:val="21"/>
          <w:szCs w:val="21"/>
        </w:rPr>
        <w:t xml:space="preserve">Always be learning — the firm stays curious and adaptable as the technology evolves.</w:t>
      </w:r>
    </w:p>
    <w:p>
      <w:pPr>
        <w:pStyle w:val="ListParagraph"/>
        <w:numPr>
          <w:ilvl w:val="0"/>
          <w:numId w:val="1"/>
        </w:numPr>
        <w:spacing w:after="120" w:line="290"/>
      </w:pPr>
      <w:r>
        <w:rPr>
          <w:rFonts w:ascii="Arial" w:cs="Arial" w:eastAsia="Arial" w:hAnsi="Arial"/>
          <w:color w:val="1A1A1A"/>
          <w:sz w:val="21"/>
          <w:szCs w:val="21"/>
        </w:rPr>
        <w:t xml:space="preserve">Educate for self-sufficiency — clients are empowered to use and improve the systems built with them, not made dependent on the firm.</w:t>
      </w:r>
    </w:p>
    <w:p>
      <w:r>
        <w:br w:type="page"/>
      </w:r>
    </w:p>
    <w:p>
      <w:pPr>
        <w:spacing w:after="120" w:before="0"/>
      </w:pPr>
      <w:r>
        <w:rPr>
          <w:rFonts w:ascii="Arial" w:cs="Arial" w:eastAsia="Arial" w:hAnsi="Arial"/>
          <w:b/>
          <w:bCs/>
          <w:color w:val="E0705D"/>
          <w:spacing w:val="24"/>
          <w:sz w:val="18"/>
          <w:szCs w:val="18"/>
        </w:rPr>
        <w:t xml:space="preserve">SECTION 2</w:t>
      </w:r>
    </w:p>
    <w:p>
      <w:pPr>
        <w:pStyle w:val="Heading1"/>
        <w:spacing w:after="240" w:before="0"/>
      </w:pPr>
      <w:r>
        <w:rPr>
          <w:rFonts w:ascii="Arial" w:cs="Arial" w:eastAsia="Arial" w:hAnsi="Arial"/>
          <w:b/>
          <w:bCs/>
          <w:color w:val="052439"/>
          <w:sz w:val="40"/>
          <w:szCs w:val="40"/>
        </w:rPr>
        <w:t xml:space="preserve">Audience &amp; Differentiation</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Who We Serve</w:t>
      </w:r>
    </w:p>
    <w:p>
      <w:pPr>
        <w:spacing w:after="200" w:before="0" w:line="300"/>
      </w:pPr>
      <w:r>
        <w:rPr>
          <w:rFonts w:ascii="Arial" w:cs="Arial" w:eastAsia="Arial" w:hAnsi="Arial"/>
          <w:i w:val="false"/>
          <w:iCs w:val="false"/>
          <w:color w:val="1A1A1A"/>
          <w:sz w:val="21"/>
          <w:szCs w:val="21"/>
        </w:rPr>
        <w:t xml:space="preserve">Small and lower-middle-market businesses generating $500K to $10M in annual revenue with 5 to 100 employees. These are owners growing faster than their internal operations can support, with limited or no dedicated operations staff, curious about AI but unsure where to start.</w:t>
      </w:r>
    </w:p>
    <w:p>
      <w:pPr>
        <w:pStyle w:val="ListParagraph"/>
        <w:numPr>
          <w:ilvl w:val="0"/>
          <w:numId w:val="1"/>
        </w:numPr>
        <w:spacing w:after="120" w:line="290"/>
      </w:pPr>
      <w:r>
        <w:rPr>
          <w:rFonts w:ascii="Arial" w:cs="Arial" w:eastAsia="Arial" w:hAnsi="Arial"/>
          <w:color w:val="1A1A1A"/>
          <w:sz w:val="21"/>
          <w:szCs w:val="21"/>
        </w:rPr>
        <w:t xml:space="preserve">5 to 100 employees</w:t>
      </w:r>
    </w:p>
    <w:p>
      <w:pPr>
        <w:pStyle w:val="ListParagraph"/>
        <w:numPr>
          <w:ilvl w:val="0"/>
          <w:numId w:val="1"/>
        </w:numPr>
        <w:spacing w:after="120" w:line="290"/>
      </w:pPr>
      <w:r>
        <w:rPr>
          <w:rFonts w:ascii="Arial" w:cs="Arial" w:eastAsia="Arial" w:hAnsi="Arial"/>
          <w:color w:val="1A1A1A"/>
          <w:sz w:val="21"/>
          <w:szCs w:val="21"/>
        </w:rPr>
        <w:t xml:space="preserve">$500K to $10M in annual revenue</w:t>
      </w:r>
    </w:p>
    <w:p>
      <w:pPr>
        <w:pStyle w:val="ListParagraph"/>
        <w:numPr>
          <w:ilvl w:val="0"/>
          <w:numId w:val="1"/>
        </w:numPr>
        <w:spacing w:after="120" w:line="290"/>
      </w:pPr>
      <w:r>
        <w:rPr>
          <w:rFonts w:ascii="Arial" w:cs="Arial" w:eastAsia="Arial" w:hAnsi="Arial"/>
          <w:color w:val="1A1A1A"/>
          <w:sz w:val="21"/>
          <w:szCs w:val="21"/>
        </w:rPr>
        <w:t xml:space="preserve">Growing faster than their operations can support</w:t>
      </w:r>
    </w:p>
    <w:p>
      <w:pPr>
        <w:pStyle w:val="ListParagraph"/>
        <w:numPr>
          <w:ilvl w:val="0"/>
          <w:numId w:val="1"/>
        </w:numPr>
        <w:spacing w:after="120" w:line="290"/>
      </w:pPr>
      <w:r>
        <w:rPr>
          <w:rFonts w:ascii="Arial" w:cs="Arial" w:eastAsia="Arial" w:hAnsi="Arial"/>
          <w:color w:val="1A1A1A"/>
          <w:sz w:val="21"/>
          <w:szCs w:val="21"/>
        </w:rPr>
        <w:t xml:space="preserve">Limited or no dedicated operations staff</w:t>
      </w:r>
    </w:p>
    <w:p>
      <w:pPr>
        <w:pStyle w:val="ListParagraph"/>
        <w:numPr>
          <w:ilvl w:val="0"/>
          <w:numId w:val="1"/>
        </w:numPr>
        <w:spacing w:after="120" w:line="290"/>
      </w:pPr>
      <w:r>
        <w:rPr>
          <w:rFonts w:ascii="Arial" w:cs="Arial" w:eastAsia="Arial" w:hAnsi="Arial"/>
          <w:color w:val="1A1A1A"/>
          <w:sz w:val="21"/>
          <w:szCs w:val="21"/>
        </w:rPr>
        <w:t xml:space="preserve">Curious about AI but unsure where to begin</w:t>
      </w:r>
    </w:p>
    <w:p>
      <w:pPr>
        <w:pStyle w:val="ListParagraph"/>
        <w:numPr>
          <w:ilvl w:val="0"/>
          <w:numId w:val="1"/>
        </w:numPr>
        <w:spacing w:after="120" w:line="290"/>
      </w:pPr>
      <w:r>
        <w:rPr>
          <w:rFonts w:ascii="Arial" w:cs="Arial" w:eastAsia="Arial" w:hAnsi="Arial"/>
          <w:color w:val="1A1A1A"/>
          <w:sz w:val="21"/>
          <w:szCs w:val="21"/>
        </w:rPr>
        <w:t xml:space="preserve">An owner or small leadership team wearing too many hats</w:t>
      </w:r>
    </w:p>
    <w:p>
      <w:pPr>
        <w:pStyle w:val="Heading2"/>
        <w:spacing w:after="160" w:before="320"/>
      </w:pPr>
      <w:r>
        <w:rPr>
          <w:rFonts w:ascii="Arial" w:cs="Arial" w:eastAsia="Arial" w:hAnsi="Arial"/>
          <w:b/>
          <w:bCs/>
          <w:color w:val="052439"/>
          <w:sz w:val="26"/>
          <w:szCs w:val="26"/>
        </w:rPr>
        <w:t xml:space="preserve">Where We Sit</w:t>
      </w:r>
    </w:p>
    <w:p>
      <w:pPr>
        <w:spacing w:after="200" w:before="0" w:line="300"/>
      </w:pPr>
      <w:r>
        <w:rPr>
          <w:rFonts w:ascii="Arial" w:cs="Arial" w:eastAsia="Arial" w:hAnsi="Arial"/>
          <w:i w:val="false"/>
          <w:iCs w:val="false"/>
          <w:color w:val="1A1A1A"/>
          <w:sz w:val="21"/>
          <w:szCs w:val="21"/>
        </w:rPr>
        <w:t xml:space="preserve">More strategic than task support. More operationally practical than broad strategy consulting. More business-outcome-led than tool-first AI agencies. The Modern CoS doesn't out-assistant the assistant firms or out-COO the high-end COO firms — it owns the combination no competitor owns: operational fluency plus practical AI plus a productized ladder a buyer can actually understand.</w:t>
      </w:r>
    </w:p>
    <w:p>
      <w:pPr>
        <w:pStyle w:val="Heading2"/>
        <w:spacing w:after="160" w:before="320"/>
      </w:pPr>
      <w:r>
        <w:rPr>
          <w:rFonts w:ascii="Arial" w:cs="Arial" w:eastAsia="Arial" w:hAnsi="Arial"/>
          <w:b/>
          <w:bCs/>
          <w:color w:val="052439"/>
          <w:sz w:val="26"/>
          <w:szCs w:val="26"/>
        </w:rPr>
        <w:t xml:space="preserve">Differentiators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052439" w:val="clear"/>
            <w:tcMar>
              <w:top w:type="dxa" w:w="120"/>
              <w:left w:type="dxa" w:w="160"/>
              <w:bottom w:type="dxa" w:w="120"/>
              <w:right w:type="dxa" w:w="160"/>
            </w:tcMar>
          </w:tcPr>
          <w:p>
            <w:r>
              <w:rPr>
                <w:rFonts w:ascii="Arial" w:cs="Arial" w:eastAsia="Arial" w:hAnsi="Arial"/>
                <w:b/>
                <w:bCs/>
                <w:color w:val="FFFFFF"/>
                <w:sz w:val="20"/>
                <w:szCs w:val="20"/>
              </w:rPr>
              <w:t xml:space="preserve">Differentiator</w:t>
            </w:r>
          </w:p>
        </w:tc>
        <w:tc>
          <w:tcPr>
            <w:tcW w:type="dxa" w:w="6680"/>
            <w:shd w:fill="052439" w:val="clear"/>
            <w:tcMar>
              <w:top w:type="dxa" w:w="120"/>
              <w:left w:type="dxa" w:w="160"/>
              <w:bottom w:type="dxa" w:w="120"/>
              <w:right w:type="dxa" w:w="160"/>
            </w:tcMar>
          </w:tcPr>
          <w:p>
            <w:r>
              <w:rPr>
                <w:rFonts w:ascii="Arial" w:cs="Arial" w:eastAsia="Arial" w:hAnsi="Arial"/>
                <w:b/>
                <w:bCs/>
                <w:color w:val="FFFFFF"/>
                <w:sz w:val="20"/>
                <w:szCs w:val="20"/>
              </w:rPr>
              <w:t xml:space="preserve">Why It Matters</w:t>
            </w:r>
          </w:p>
        </w:tc>
      </w:tr>
      <w:tr>
        <w:tc>
          <w:tcPr>
            <w:tcW w:type="dxa" w:w="3400"/>
            <w:shd w:fill="F5F5F5" w:val="clear"/>
            <w:tcMar>
              <w:top w:type="dxa" w:w="120"/>
              <w:left w:type="dxa" w:w="160"/>
              <w:bottom w:type="dxa" w:w="120"/>
              <w:right w:type="dxa" w:w="160"/>
            </w:tcMar>
          </w:tcPr>
          <w:p>
            <w:r>
              <w:rPr>
                <w:rFonts w:ascii="Arial" w:cs="Arial" w:eastAsia="Arial" w:hAnsi="Arial"/>
                <w:b/>
                <w:bCs/>
                <w:color w:val="052439"/>
                <w:sz w:val="19"/>
                <w:szCs w:val="19"/>
              </w:rPr>
              <w:t xml:space="preserve">Operations-first, AI-enabled</w:t>
            </w:r>
          </w:p>
        </w:tc>
        <w:tc>
          <w:tcPr>
            <w:tcW w:type="dxa" w:w="6680"/>
            <w:shd w:fill="F5F5F5" w:val="clear"/>
            <w:tcMar>
              <w:top w:type="dxa" w:w="120"/>
              <w:left w:type="dxa" w:w="160"/>
              <w:bottom w:type="dxa" w:w="120"/>
              <w:right w:type="dxa" w:w="160"/>
            </w:tcMar>
          </w:tcPr>
          <w:p>
            <w:r>
              <w:rPr>
                <w:rFonts w:ascii="Arial" w:cs="Arial" w:eastAsia="Arial" w:hAnsi="Arial"/>
                <w:color w:val="1A1A1A"/>
                <w:sz w:val="19"/>
                <w:szCs w:val="19"/>
              </w:rPr>
              <w:t xml:space="preserve">Buyers want outcomes, not tool demos.</w:t>
            </w:r>
          </w:p>
        </w:tc>
      </w:tr>
      <w:tr>
        <w:tc>
          <w:tcPr>
            <w:tcW w:type="dxa" w:w="3400"/>
            <w:shd w:fill="FFFFFF" w:val="clear"/>
            <w:tcMar>
              <w:top w:type="dxa" w:w="120"/>
              <w:left w:type="dxa" w:w="160"/>
              <w:bottom w:type="dxa" w:w="120"/>
              <w:right w:type="dxa" w:w="160"/>
            </w:tcMar>
          </w:tcPr>
          <w:p>
            <w:r>
              <w:rPr>
                <w:rFonts w:ascii="Arial" w:cs="Arial" w:eastAsia="Arial" w:hAnsi="Arial"/>
                <w:b/>
                <w:bCs/>
                <w:color w:val="052439"/>
                <w:sz w:val="19"/>
                <w:szCs w:val="19"/>
              </w:rPr>
              <w:t xml:space="preserve">Productized advisory ladder</w:t>
            </w:r>
          </w:p>
        </w:tc>
        <w:tc>
          <w:tcPr>
            <w:tcW w:type="dxa" w:w="6680"/>
            <w:shd w:fill="FFFFFF" w:val="clear"/>
            <w:tcMar>
              <w:top w:type="dxa" w:w="120"/>
              <w:left w:type="dxa" w:w="160"/>
              <w:bottom w:type="dxa" w:w="120"/>
              <w:right w:type="dxa" w:w="160"/>
            </w:tcMar>
          </w:tcPr>
          <w:p>
            <w:r>
              <w:rPr>
                <w:rFonts w:ascii="Arial" w:cs="Arial" w:eastAsia="Arial" w:hAnsi="Arial"/>
                <w:color w:val="1A1A1A"/>
                <w:sz w:val="19"/>
                <w:szCs w:val="19"/>
              </w:rPr>
              <w:t xml:space="preserve">Easier to buy than opaque consulting.</w:t>
            </w:r>
          </w:p>
        </w:tc>
      </w:tr>
      <w:tr>
        <w:tc>
          <w:tcPr>
            <w:tcW w:type="dxa" w:w="3400"/>
            <w:shd w:fill="F5F5F5" w:val="clear"/>
            <w:tcMar>
              <w:top w:type="dxa" w:w="120"/>
              <w:left w:type="dxa" w:w="160"/>
              <w:bottom w:type="dxa" w:w="120"/>
              <w:right w:type="dxa" w:w="160"/>
            </w:tcMar>
          </w:tcPr>
          <w:p>
            <w:r>
              <w:rPr>
                <w:rFonts w:ascii="Arial" w:cs="Arial" w:eastAsia="Arial" w:hAnsi="Arial"/>
                <w:b/>
                <w:bCs/>
                <w:color w:val="052439"/>
                <w:sz w:val="19"/>
                <w:szCs w:val="19"/>
              </w:rPr>
              <w:t xml:space="preserve">Founder education for self-sufficiency</w:t>
            </w:r>
          </w:p>
        </w:tc>
        <w:tc>
          <w:tcPr>
            <w:tcW w:type="dxa" w:w="6680"/>
            <w:shd w:fill="F5F5F5" w:val="clear"/>
            <w:tcMar>
              <w:top w:type="dxa" w:w="120"/>
              <w:left w:type="dxa" w:w="160"/>
              <w:bottom w:type="dxa" w:w="120"/>
              <w:right w:type="dxa" w:w="160"/>
            </w:tcMar>
          </w:tcPr>
          <w:p>
            <w:r>
              <w:rPr>
                <w:rFonts w:ascii="Arial" w:cs="Arial" w:eastAsia="Arial" w:hAnsi="Arial"/>
                <w:color w:val="1A1A1A"/>
                <w:sz w:val="19"/>
                <w:szCs w:val="19"/>
              </w:rPr>
              <w:t xml:space="preserve">Distinguishes from dependency-heavy service models.</w:t>
            </w:r>
          </w:p>
        </w:tc>
      </w:tr>
      <w:tr>
        <w:tc>
          <w:tcPr>
            <w:tcW w:type="dxa" w:w="3400"/>
            <w:shd w:fill="FFFFFF" w:val="clear"/>
            <w:tcMar>
              <w:top w:type="dxa" w:w="120"/>
              <w:left w:type="dxa" w:w="160"/>
              <w:bottom w:type="dxa" w:w="120"/>
              <w:right w:type="dxa" w:w="160"/>
            </w:tcMar>
          </w:tcPr>
          <w:p>
            <w:r>
              <w:rPr>
                <w:rFonts w:ascii="Arial" w:cs="Arial" w:eastAsia="Arial" w:hAnsi="Arial"/>
                <w:b/>
                <w:bCs/>
                <w:color w:val="052439"/>
                <w:sz w:val="19"/>
                <w:szCs w:val="19"/>
              </w:rPr>
              <w:t xml:space="preserve">Digital products as low-risk entry points</w:t>
            </w:r>
          </w:p>
        </w:tc>
        <w:tc>
          <w:tcPr>
            <w:tcW w:type="dxa" w:w="6680"/>
            <w:shd w:fill="FFFFFF" w:val="clear"/>
            <w:tcMar>
              <w:top w:type="dxa" w:w="120"/>
              <w:left w:type="dxa" w:w="160"/>
              <w:bottom w:type="dxa" w:w="120"/>
              <w:right w:type="dxa" w:w="160"/>
            </w:tcMar>
          </w:tcPr>
          <w:p>
            <w:r>
              <w:rPr>
                <w:rFonts w:ascii="Arial" w:cs="Arial" w:eastAsia="Arial" w:hAnsi="Arial"/>
                <w:color w:val="1A1A1A"/>
                <w:sz w:val="19"/>
                <w:szCs w:val="19"/>
              </w:rPr>
              <w:t xml:space="preserve">Reduces acquisition friction.</w:t>
            </w:r>
          </w:p>
        </w:tc>
      </w:tr>
      <w:tr>
        <w:tc>
          <w:tcPr>
            <w:tcW w:type="dxa" w:w="3400"/>
            <w:shd w:fill="F5F5F5" w:val="clear"/>
            <w:tcMar>
              <w:top w:type="dxa" w:w="120"/>
              <w:left w:type="dxa" w:w="160"/>
              <w:bottom w:type="dxa" w:w="120"/>
              <w:right w:type="dxa" w:w="160"/>
            </w:tcMar>
          </w:tcPr>
          <w:p>
            <w:r>
              <w:rPr>
                <w:rFonts w:ascii="Arial" w:cs="Arial" w:eastAsia="Arial" w:hAnsi="Arial"/>
                <w:b/>
                <w:bCs/>
                <w:color w:val="052439"/>
                <w:sz w:val="19"/>
                <w:szCs w:val="19"/>
              </w:rPr>
              <w:t xml:space="preserve">U.S. small-business specialization</w:t>
            </w:r>
          </w:p>
        </w:tc>
        <w:tc>
          <w:tcPr>
            <w:tcW w:type="dxa" w:w="6680"/>
            <w:shd w:fill="F5F5F5" w:val="clear"/>
            <w:tcMar>
              <w:top w:type="dxa" w:w="120"/>
              <w:left w:type="dxa" w:w="160"/>
              <w:bottom w:type="dxa" w:w="120"/>
              <w:right w:type="dxa" w:w="160"/>
            </w:tcMar>
          </w:tcPr>
          <w:p>
            <w:r>
              <w:rPr>
                <w:rFonts w:ascii="Arial" w:cs="Arial" w:eastAsia="Arial" w:hAnsi="Arial"/>
                <w:color w:val="1A1A1A"/>
                <w:sz w:val="19"/>
                <w:szCs w:val="19"/>
              </w:rPr>
              <w:t xml:space="preserve">Keeps positioning tight and credible.</w:t>
            </w:r>
          </w:p>
        </w:tc>
      </w:tr>
    </w:tbl>
    <w:p>
      <w:r>
        <w:br w:type="page"/>
      </w:r>
    </w:p>
    <w:p>
      <w:pPr>
        <w:spacing w:after="120" w:before="0"/>
      </w:pPr>
      <w:r>
        <w:rPr>
          <w:rFonts w:ascii="Arial" w:cs="Arial" w:eastAsia="Arial" w:hAnsi="Arial"/>
          <w:b/>
          <w:bCs/>
          <w:color w:val="E0705D"/>
          <w:spacing w:val="24"/>
          <w:sz w:val="18"/>
          <w:szCs w:val="18"/>
        </w:rPr>
        <w:t xml:space="preserve">SECTION 3</w:t>
      </w:r>
    </w:p>
    <w:p>
      <w:pPr>
        <w:pStyle w:val="Heading1"/>
        <w:spacing w:after="240" w:before="0"/>
      </w:pPr>
      <w:r>
        <w:rPr>
          <w:rFonts w:ascii="Arial" w:cs="Arial" w:eastAsia="Arial" w:hAnsi="Arial"/>
          <w:b/>
          <w:bCs/>
          <w:color w:val="052439"/>
          <w:sz w:val="40"/>
          <w:szCs w:val="40"/>
        </w:rPr>
        <w:t xml:space="preserve">Voice &amp; Tone</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Personality</w:t>
      </w:r>
    </w:p>
    <w:p>
      <w:pPr>
        <w:spacing w:after="200" w:before="0" w:line="300"/>
      </w:pPr>
      <w:r>
        <w:rPr>
          <w:rFonts w:ascii="Arial" w:cs="Arial" w:eastAsia="Arial" w:hAnsi="Arial"/>
          <w:i w:val="false"/>
          <w:iCs w:val="false"/>
          <w:color w:val="1A1A1A"/>
          <w:sz w:val="21"/>
          <w:szCs w:val="21"/>
        </w:rPr>
        <w:t xml:space="preserve">The Modern CoS sounds like an experienced operator, not a consultant filling slide space. Direct. Specific. Outcome-focused. AI is the method, not the pitch — every piece of content should read like it came from someone who has actually done the work, not someone marketing around it.</w:t>
      </w:r>
    </w:p>
    <w:p>
      <w:pPr>
        <w:pStyle w:val="ListParagraph"/>
        <w:numPr>
          <w:ilvl w:val="0"/>
          <w:numId w:val="1"/>
        </w:numPr>
        <w:spacing w:after="120" w:line="290"/>
      </w:pPr>
      <w:r>
        <w:rPr>
          <w:rFonts w:ascii="Arial" w:cs="Arial" w:eastAsia="Arial" w:hAnsi="Arial"/>
          <w:color w:val="1A1A1A"/>
          <w:sz w:val="21"/>
          <w:szCs w:val="21"/>
        </w:rPr>
        <w:t xml:space="preserve">Direct — lead with the answer, not the throat-clearing</w:t>
      </w:r>
    </w:p>
    <w:p>
      <w:pPr>
        <w:pStyle w:val="ListParagraph"/>
        <w:numPr>
          <w:ilvl w:val="0"/>
          <w:numId w:val="1"/>
        </w:numPr>
        <w:spacing w:after="120" w:line="290"/>
      </w:pPr>
      <w:r>
        <w:rPr>
          <w:rFonts w:ascii="Arial" w:cs="Arial" w:eastAsia="Arial" w:hAnsi="Arial"/>
          <w:color w:val="1A1A1A"/>
          <w:sz w:val="21"/>
          <w:szCs w:val="21"/>
        </w:rPr>
        <w:t xml:space="preserve">Practical — concrete examples over abstractions and buzzwords</w:t>
      </w:r>
    </w:p>
    <w:p>
      <w:pPr>
        <w:pStyle w:val="ListParagraph"/>
        <w:numPr>
          <w:ilvl w:val="0"/>
          <w:numId w:val="1"/>
        </w:numPr>
        <w:spacing w:after="120" w:line="290"/>
      </w:pPr>
      <w:r>
        <w:rPr>
          <w:rFonts w:ascii="Arial" w:cs="Arial" w:eastAsia="Arial" w:hAnsi="Arial"/>
          <w:color w:val="1A1A1A"/>
          <w:sz w:val="21"/>
          <w:szCs w:val="21"/>
        </w:rPr>
        <w:t xml:space="preserve">Confident — a real point of view, not a neutral textbook tone</w:t>
      </w:r>
    </w:p>
    <w:p>
      <w:pPr>
        <w:pStyle w:val="ListParagraph"/>
        <w:numPr>
          <w:ilvl w:val="0"/>
          <w:numId w:val="1"/>
        </w:numPr>
        <w:spacing w:after="120" w:line="290"/>
      </w:pPr>
      <w:r>
        <w:rPr>
          <w:rFonts w:ascii="Arial" w:cs="Arial" w:eastAsia="Arial" w:hAnsi="Arial"/>
          <w:color w:val="1A1A1A"/>
          <w:sz w:val="21"/>
          <w:szCs w:val="21"/>
        </w:rPr>
        <w:t xml:space="preserve">Self-sufficient — teach clients to run the system, don't hoard the knowledge</w:t>
      </w:r>
    </w:p>
    <w:p>
      <w:pPr>
        <w:pStyle w:val="ListParagraph"/>
        <w:numPr>
          <w:ilvl w:val="0"/>
          <w:numId w:val="1"/>
        </w:numPr>
        <w:spacing w:after="120" w:line="290"/>
      </w:pPr>
      <w:r>
        <w:rPr>
          <w:rFonts w:ascii="Arial" w:cs="Arial" w:eastAsia="Arial" w:hAnsi="Arial"/>
          <w:color w:val="1A1A1A"/>
          <w:sz w:val="21"/>
          <w:szCs w:val="21"/>
        </w:rPr>
        <w:t xml:space="preserve">Honest about tradeoffs — no manufactured enthusiasm, no papering over gaps</w:t>
      </w:r>
    </w:p>
    <w:p>
      <w:pPr>
        <w:pStyle w:val="Heading2"/>
        <w:spacing w:after="160" w:before="320"/>
      </w:pPr>
      <w:r>
        <w:rPr>
          <w:rFonts w:ascii="Arial" w:cs="Arial" w:eastAsia="Arial" w:hAnsi="Arial"/>
          <w:b/>
          <w:bCs/>
          <w:color w:val="052439"/>
          <w:sz w:val="26"/>
          <w:szCs w:val="26"/>
        </w:rPr>
        <w:t xml:space="preserve">Writing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52439" w:val="clear"/>
            <w:tcMar>
              <w:top w:type="dxa" w:w="120"/>
              <w:left w:type="dxa" w:w="160"/>
              <w:bottom w:type="dxa" w:w="120"/>
              <w:right w:type="dxa" w:w="160"/>
            </w:tcMar>
          </w:tcPr>
          <w:p>
            <w:r>
              <w:rPr>
                <w:rFonts w:ascii="Arial" w:cs="Arial" w:eastAsia="Arial" w:hAnsi="Arial"/>
                <w:b/>
                <w:bCs/>
                <w:color w:val="FFFFFF"/>
                <w:sz w:val="20"/>
                <w:szCs w:val="20"/>
              </w:rPr>
              <w:t xml:space="preserve">Say It Like This</w:t>
            </w:r>
          </w:p>
        </w:tc>
        <w:tc>
          <w:tcPr>
            <w:tcW w:type="dxa" w:w="5040"/>
            <w:shd w:fill="8A3B2C" w:val="clear"/>
            <w:tcMar>
              <w:top w:type="dxa" w:w="120"/>
              <w:left w:type="dxa" w:w="160"/>
              <w:bottom w:type="dxa" w:w="120"/>
              <w:right w:type="dxa" w:w="160"/>
            </w:tcMar>
          </w:tcPr>
          <w:p>
            <w:r>
              <w:rPr>
                <w:rFonts w:ascii="Arial" w:cs="Arial" w:eastAsia="Arial" w:hAnsi="Arial"/>
                <w:b/>
                <w:bCs/>
                <w:color w:val="FFFFFF"/>
                <w:sz w:val="20"/>
                <w:szCs w:val="20"/>
              </w:rPr>
              <w:t xml:space="preserve">Not Like This</w:t>
            </w:r>
          </w:p>
        </w:tc>
      </w:tr>
      <w:tr>
        <w:tc>
          <w:tcPr>
            <w:tcW w:type="dxa" w:w="5040"/>
            <w:shd w:fill="F5F5F5" w:val="clear"/>
            <w:tcMar>
              <w:top w:type="dxa" w:w="120"/>
              <w:left w:type="dxa" w:w="160"/>
              <w:bottom w:type="dxa" w:w="120"/>
              <w:right w:type="dxa" w:w="160"/>
            </w:tcMar>
          </w:tcPr>
          <w:p>
            <w:r>
              <w:rPr>
                <w:rFonts w:ascii="Arial" w:cs="Arial" w:eastAsia="Arial" w:hAnsi="Arial"/>
                <w:color w:val="1A1A1A"/>
                <w:sz w:val="19"/>
                <w:szCs w:val="19"/>
              </w:rPr>
              <w:t xml:space="preserve">"Here's what I'd fix first, and why it matters."</w:t>
            </w:r>
          </w:p>
        </w:tc>
        <w:tc>
          <w:tcPr>
            <w:tcW w:type="dxa" w:w="5040"/>
            <w:shd w:fill="F5F5F5" w:val="clear"/>
            <w:tcMar>
              <w:top w:type="dxa" w:w="120"/>
              <w:left w:type="dxa" w:w="160"/>
              <w:bottom w:type="dxa" w:w="120"/>
              <w:right w:type="dxa" w:w="160"/>
            </w:tcMar>
          </w:tcPr>
          <w:p>
            <w:r>
              <w:rPr>
                <w:rFonts w:ascii="Arial" w:cs="Arial" w:eastAsia="Arial" w:hAnsi="Arial"/>
                <w:i/>
                <w:iCs/>
                <w:color w:val="5C5C5C"/>
                <w:sz w:val="19"/>
                <w:szCs w:val="19"/>
              </w:rPr>
              <w:t xml:space="preserve">"In today's fast-paced business environment..."</w:t>
            </w:r>
          </w:p>
        </w:tc>
      </w:tr>
      <w:tr>
        <w:tc>
          <w:tcPr>
            <w:tcW w:type="dxa" w:w="5040"/>
            <w:shd w:fill="FFFFFF" w:val="clear"/>
            <w:tcMar>
              <w:top w:type="dxa" w:w="120"/>
              <w:left w:type="dxa" w:w="160"/>
              <w:bottom w:type="dxa" w:w="120"/>
              <w:right w:type="dxa" w:w="160"/>
            </w:tcMar>
          </w:tcPr>
          <w:p>
            <w:r>
              <w:rPr>
                <w:rFonts w:ascii="Arial" w:cs="Arial" w:eastAsia="Arial" w:hAnsi="Arial"/>
                <w:color w:val="1A1A1A"/>
                <w:sz w:val="19"/>
                <w:szCs w:val="19"/>
              </w:rPr>
              <w:t xml:space="preserve">Contractions, varied sentence length, plain English</w:t>
            </w:r>
          </w:p>
        </w:tc>
        <w:tc>
          <w:tcPr>
            <w:tcW w:type="dxa" w:w="5040"/>
            <w:shd w:fill="FFFFFF" w:val="clear"/>
            <w:tcMar>
              <w:top w:type="dxa" w:w="120"/>
              <w:left w:type="dxa" w:w="160"/>
              <w:bottom w:type="dxa" w:w="120"/>
              <w:right w:type="dxa" w:w="160"/>
            </w:tcMar>
          </w:tcPr>
          <w:p>
            <w:r>
              <w:rPr>
                <w:rFonts w:ascii="Arial" w:cs="Arial" w:eastAsia="Arial" w:hAnsi="Arial"/>
                <w:i/>
                <w:iCs/>
                <w:color w:val="5C5C5C"/>
                <w:sz w:val="19"/>
                <w:szCs w:val="19"/>
              </w:rPr>
              <w:t xml:space="preserve">Furthermore, Moreover, Additionally, Consequently</w:t>
            </w:r>
          </w:p>
        </w:tc>
      </w:tr>
      <w:tr>
        <w:tc>
          <w:tcPr>
            <w:tcW w:type="dxa" w:w="5040"/>
            <w:shd w:fill="F5F5F5" w:val="clear"/>
            <w:tcMar>
              <w:top w:type="dxa" w:w="120"/>
              <w:left w:type="dxa" w:w="160"/>
              <w:bottom w:type="dxa" w:w="120"/>
              <w:right w:type="dxa" w:w="160"/>
            </w:tcMar>
          </w:tcPr>
          <w:p>
            <w:r>
              <w:rPr>
                <w:rFonts w:ascii="Arial" w:cs="Arial" w:eastAsia="Arial" w:hAnsi="Arial"/>
                <w:color w:val="1A1A1A"/>
                <w:sz w:val="19"/>
                <w:szCs w:val="19"/>
              </w:rPr>
              <w:t xml:space="preserve">"This workflow saves about six hours a week."</w:t>
            </w:r>
          </w:p>
        </w:tc>
        <w:tc>
          <w:tcPr>
            <w:tcW w:type="dxa" w:w="5040"/>
            <w:shd w:fill="F5F5F5" w:val="clear"/>
            <w:tcMar>
              <w:top w:type="dxa" w:w="120"/>
              <w:left w:type="dxa" w:w="160"/>
              <w:bottom w:type="dxa" w:w="120"/>
              <w:right w:type="dxa" w:w="160"/>
            </w:tcMar>
          </w:tcPr>
          <w:p>
            <w:r>
              <w:rPr>
                <w:rFonts w:ascii="Arial" w:cs="Arial" w:eastAsia="Arial" w:hAnsi="Arial"/>
                <w:i/>
                <w:iCs/>
                <w:color w:val="5C5C5C"/>
                <w:sz w:val="19"/>
                <w:szCs w:val="19"/>
              </w:rPr>
              <w:t xml:space="preserve">"This innovative solution leverages cutting-edge AI."</w:t>
            </w:r>
          </w:p>
        </w:tc>
      </w:tr>
      <w:tr>
        <w:tc>
          <w:tcPr>
            <w:tcW w:type="dxa" w:w="5040"/>
            <w:shd w:fill="FFFFFF" w:val="clear"/>
            <w:tcMar>
              <w:top w:type="dxa" w:w="120"/>
              <w:left w:type="dxa" w:w="160"/>
              <w:bottom w:type="dxa" w:w="120"/>
              <w:right w:type="dxa" w:w="160"/>
            </w:tcMar>
          </w:tcPr>
          <w:p>
            <w:r>
              <w:rPr>
                <w:rFonts w:ascii="Arial" w:cs="Arial" w:eastAsia="Arial" w:hAnsi="Arial"/>
                <w:color w:val="1A1A1A"/>
                <w:sz w:val="19"/>
                <w:szCs w:val="19"/>
              </w:rPr>
              <w:t xml:space="preserve">Concrete numbers, named tools, real examples</w:t>
            </w:r>
          </w:p>
        </w:tc>
        <w:tc>
          <w:tcPr>
            <w:tcW w:type="dxa" w:w="5040"/>
            <w:shd w:fill="FFFFFF" w:val="clear"/>
            <w:tcMar>
              <w:top w:type="dxa" w:w="120"/>
              <w:left w:type="dxa" w:w="160"/>
              <w:bottom w:type="dxa" w:w="120"/>
              <w:right w:type="dxa" w:w="160"/>
            </w:tcMar>
          </w:tcPr>
          <w:p>
            <w:r>
              <w:rPr>
                <w:rFonts w:ascii="Arial" w:cs="Arial" w:eastAsia="Arial" w:hAnsi="Arial"/>
                <w:i/>
                <w:iCs/>
                <w:color w:val="5C5C5C"/>
                <w:sz w:val="19"/>
                <w:szCs w:val="19"/>
              </w:rPr>
              <w:t xml:space="preserve">Generic motivational language and corporate clichés</w:t>
            </w:r>
          </w:p>
        </w:tc>
      </w:tr>
      <w:tr>
        <w:tc>
          <w:tcPr>
            <w:tcW w:type="dxa" w:w="5040"/>
            <w:shd w:fill="F5F5F5" w:val="clear"/>
            <w:tcMar>
              <w:top w:type="dxa" w:w="120"/>
              <w:left w:type="dxa" w:w="160"/>
              <w:bottom w:type="dxa" w:w="120"/>
              <w:right w:type="dxa" w:w="160"/>
            </w:tcMar>
          </w:tcPr>
          <w:p>
            <w:r>
              <w:rPr>
                <w:rFonts w:ascii="Arial" w:cs="Arial" w:eastAsia="Arial" w:hAnsi="Arial"/>
                <w:color w:val="1A1A1A"/>
                <w:sz w:val="19"/>
                <w:szCs w:val="19"/>
              </w:rPr>
              <w:t xml:space="preserve">Short paragraphs that read like a person talking</w:t>
            </w:r>
          </w:p>
        </w:tc>
        <w:tc>
          <w:tcPr>
            <w:tcW w:type="dxa" w:w="5040"/>
            <w:shd w:fill="F5F5F5" w:val="clear"/>
            <w:tcMar>
              <w:top w:type="dxa" w:w="120"/>
              <w:left w:type="dxa" w:w="160"/>
              <w:bottom w:type="dxa" w:w="120"/>
              <w:right w:type="dxa" w:w="160"/>
            </w:tcMar>
          </w:tcPr>
          <w:p>
            <w:r>
              <w:rPr>
                <w:rFonts w:ascii="Arial" w:cs="Arial" w:eastAsia="Arial" w:hAnsi="Arial"/>
                <w:i/>
                <w:iCs/>
                <w:color w:val="5C5C5C"/>
                <w:sz w:val="19"/>
                <w:szCs w:val="19"/>
              </w:rPr>
              <w:t xml:space="preserve">Forced three-point frameworks and symmetrical bullet lists</w:t>
            </w:r>
          </w:p>
        </w:tc>
      </w:tr>
    </w:tbl>
    <w:p>
      <w:pPr>
        <w:pStyle w:val="Heading2"/>
        <w:spacing w:after="160" w:before="320"/>
      </w:pPr>
      <w:r>
        <w:rPr>
          <w:rFonts w:ascii="Arial" w:cs="Arial" w:eastAsia="Arial" w:hAnsi="Arial"/>
          <w:b/>
          <w:bCs/>
          <w:color w:val="052439"/>
          <w:sz w:val="26"/>
          <w:szCs w:val="26"/>
        </w:rPr>
        <w:t xml:space="preserve">Content Pillars</w:t>
      </w:r>
    </w:p>
    <w:p>
      <w:pPr>
        <w:spacing w:after="200" w:before="0" w:line="300"/>
      </w:pPr>
      <w:r>
        <w:rPr>
          <w:rFonts w:ascii="Arial" w:cs="Arial" w:eastAsia="Arial" w:hAnsi="Arial"/>
          <w:i w:val="false"/>
          <w:iCs w:val="false"/>
          <w:color w:val="1A1A1A"/>
          <w:sz w:val="21"/>
          <w:szCs w:val="21"/>
        </w:rPr>
        <w:t xml:space="preserve">The four pillars that anchor recurring content, in LinkedIn posts, newsletters, and client-facing material:</w:t>
      </w:r>
    </w:p>
    <w:p>
      <w:pPr>
        <w:pStyle w:val="ListParagraph"/>
        <w:numPr>
          <w:ilvl w:val="0"/>
          <w:numId w:val="1"/>
        </w:numPr>
        <w:spacing w:after="120" w:line="290"/>
      </w:pPr>
      <w:r>
        <w:rPr>
          <w:rFonts w:ascii="Arial" w:cs="Arial" w:eastAsia="Arial" w:hAnsi="Arial"/>
          <w:color w:val="1A1A1A"/>
          <w:sz w:val="21"/>
          <w:szCs w:val="21"/>
        </w:rPr>
        <w:t xml:space="preserve">Chief of Staff Insights — operational lessons from real engagements</w:t>
      </w:r>
    </w:p>
    <w:p>
      <w:pPr>
        <w:pStyle w:val="ListParagraph"/>
        <w:numPr>
          <w:ilvl w:val="0"/>
          <w:numId w:val="1"/>
        </w:numPr>
        <w:spacing w:after="120" w:line="290"/>
      </w:pPr>
      <w:r>
        <w:rPr>
          <w:rFonts w:ascii="Arial" w:cs="Arial" w:eastAsia="Arial" w:hAnsi="Arial"/>
          <w:color w:val="1A1A1A"/>
          <w:sz w:val="21"/>
          <w:szCs w:val="21"/>
        </w:rPr>
        <w:t xml:space="preserve">Workflow Wednesday — a specific automation or process breakdown</w:t>
      </w:r>
    </w:p>
    <w:p>
      <w:pPr>
        <w:pStyle w:val="ListParagraph"/>
        <w:numPr>
          <w:ilvl w:val="0"/>
          <w:numId w:val="1"/>
        </w:numPr>
        <w:spacing w:after="120" w:line="290"/>
      </w:pPr>
      <w:r>
        <w:rPr>
          <w:rFonts w:ascii="Arial" w:cs="Arial" w:eastAsia="Arial" w:hAnsi="Arial"/>
          <w:color w:val="1A1A1A"/>
          <w:sz w:val="21"/>
          <w:szCs w:val="21"/>
        </w:rPr>
        <w:t xml:space="preserve">Behind the Systems — how a tool or SOP actually gets built</w:t>
      </w:r>
    </w:p>
    <w:p>
      <w:pPr>
        <w:pStyle w:val="ListParagraph"/>
        <w:numPr>
          <w:ilvl w:val="0"/>
          <w:numId w:val="1"/>
        </w:numPr>
        <w:spacing w:after="120" w:line="290"/>
      </w:pPr>
      <w:r>
        <w:rPr>
          <w:rFonts w:ascii="Arial" w:cs="Arial" w:eastAsia="Arial" w:hAnsi="Arial"/>
          <w:color w:val="1A1A1A"/>
          <w:sz w:val="21"/>
          <w:szCs w:val="21"/>
        </w:rPr>
        <w:t xml:space="preserve">Practical AI — AI as a means to an operational end, never the headline</w:t>
      </w:r>
    </w:p>
    <w:p>
      <w:r>
        <w:br w:type="page"/>
      </w:r>
    </w:p>
    <w:p>
      <w:pPr>
        <w:spacing w:after="120" w:before="0"/>
      </w:pPr>
      <w:r>
        <w:rPr>
          <w:rFonts w:ascii="Arial" w:cs="Arial" w:eastAsia="Arial" w:hAnsi="Arial"/>
          <w:b/>
          <w:bCs/>
          <w:color w:val="E0705D"/>
          <w:spacing w:val="24"/>
          <w:sz w:val="18"/>
          <w:szCs w:val="18"/>
        </w:rPr>
        <w:t xml:space="preserve">SECTION 4</w:t>
      </w:r>
    </w:p>
    <w:p>
      <w:pPr>
        <w:pStyle w:val="Heading1"/>
        <w:spacing w:after="240" w:before="0"/>
      </w:pPr>
      <w:r>
        <w:rPr>
          <w:rFonts w:ascii="Arial" w:cs="Arial" w:eastAsia="Arial" w:hAnsi="Arial"/>
          <w:b/>
          <w:bCs/>
          <w:color w:val="052439"/>
          <w:sz w:val="40"/>
          <w:szCs w:val="40"/>
        </w:rPr>
        <w:t xml:space="preserve">Logo System</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Primary Logo</w:t>
      </w:r>
    </w:p>
    <w:p>
      <w:pPr>
        <w:shd w:fill="FAFAFA" w:val="clear"/>
        <w:spacing w:after="200" w:before="200"/>
        <w:jc w:val="center"/>
      </w:pPr>
      <w:r>
        <w:drawing>
          <wp:inline distT="0" distB="0" distL="0" distR="0">
            <wp:extent cx="2857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371725"/>
                    </a:xfrm>
                    <a:prstGeom prst="rect">
                      <a:avLst/>
                    </a:prstGeom>
                  </pic:spPr>
                </pic:pic>
              </a:graphicData>
            </a:graphic>
          </wp:inline>
        </w:drawing>
      </w:r>
    </w:p>
    <w:p>
      <w:pPr>
        <w:spacing w:after="200" w:before="0" w:line="300"/>
      </w:pPr>
      <w:r>
        <w:rPr>
          <w:rFonts w:ascii="Arial" w:cs="Arial" w:eastAsia="Arial" w:hAnsi="Arial"/>
          <w:i w:val="false"/>
          <w:iCs w:val="false"/>
          <w:color w:val="1A1A1A"/>
          <w:sz w:val="21"/>
          <w:szCs w:val="21"/>
        </w:rPr>
        <w:t xml:space="preserve">The full lockup — "THE Modern CoS LLC" with the "Automate • Optimize • Grow" tagline — is the default version. Use it whenever space allows: website header, proposals, email signature, social profile.</w:t>
      </w:r>
    </w:p>
    <w:p>
      <w:pPr>
        <w:pStyle w:val="Heading2"/>
        <w:spacing w:after="160" w:before="320"/>
      </w:pPr>
      <w:r>
        <w:rPr>
          <w:rFonts w:ascii="Arial" w:cs="Arial" w:eastAsia="Arial" w:hAnsi="Arial"/>
          <w:b/>
          <w:bCs/>
          <w:color w:val="052439"/>
          <w:sz w:val="26"/>
          <w:szCs w:val="26"/>
        </w:rPr>
        <w:t xml:space="preserve">Clear Space &amp; Minimum Size</w:t>
      </w:r>
    </w:p>
    <w:p>
      <w:pPr>
        <w:pStyle w:val="ListParagraph"/>
        <w:numPr>
          <w:ilvl w:val="0"/>
          <w:numId w:val="1"/>
        </w:numPr>
        <w:spacing w:after="120" w:line="290"/>
      </w:pPr>
      <w:r>
        <w:rPr>
          <w:rFonts w:ascii="Arial" w:cs="Arial" w:eastAsia="Arial" w:hAnsi="Arial"/>
          <w:color w:val="1A1A1A"/>
          <w:sz w:val="21"/>
          <w:szCs w:val="21"/>
        </w:rPr>
        <w:t xml:space="preserve">Keep clear space around the logo equal to the height of the "C" in CoS on every side — no text, edges, or other graphics inside that margin.</w:t>
      </w:r>
    </w:p>
    <w:p>
      <w:pPr>
        <w:pStyle w:val="ListParagraph"/>
        <w:numPr>
          <w:ilvl w:val="0"/>
          <w:numId w:val="1"/>
        </w:numPr>
        <w:spacing w:after="120" w:line="290"/>
      </w:pPr>
      <w:r>
        <w:rPr>
          <w:rFonts w:ascii="Arial" w:cs="Arial" w:eastAsia="Arial" w:hAnsi="Arial"/>
          <w:color w:val="1A1A1A"/>
          <w:sz w:val="21"/>
          <w:szCs w:val="21"/>
        </w:rPr>
        <w:t xml:space="preserve">Never scale the full lockup below 1.25" wide in print or 150px wide on screen — the tagline becomes illegible below that.</w:t>
      </w:r>
    </w:p>
    <w:p>
      <w:pPr>
        <w:pStyle w:val="ListParagraph"/>
        <w:numPr>
          <w:ilvl w:val="0"/>
          <w:numId w:val="1"/>
        </w:numPr>
        <w:spacing w:after="120" w:line="290"/>
      </w:pPr>
      <w:r>
        <w:rPr>
          <w:rFonts w:ascii="Arial" w:cs="Arial" w:eastAsia="Arial" w:hAnsi="Arial"/>
          <w:color w:val="1A1A1A"/>
          <w:sz w:val="21"/>
          <w:szCs w:val="21"/>
        </w:rPr>
        <w:t xml:space="preserve">For small placements (favicons, app icons, social avatars), use the coral "CoS" mark on its own rather than shrinking the full lockup.</w:t>
      </w:r>
    </w:p>
    <w:p>
      <w:pPr>
        <w:pStyle w:val="Heading2"/>
        <w:spacing w:after="160" w:before="320"/>
      </w:pPr>
      <w:r>
        <w:rPr>
          <w:rFonts w:ascii="Arial" w:cs="Arial" w:eastAsia="Arial" w:hAnsi="Arial"/>
          <w:b/>
          <w:bCs/>
          <w:color w:val="052439"/>
          <w:sz w:val="26"/>
          <w:szCs w:val="26"/>
        </w:rPr>
        <w:t xml:space="preserve">Incorrect Usage</w:t>
      </w:r>
    </w:p>
    <w:p>
      <w:pPr>
        <w:pStyle w:val="ListParagraph"/>
        <w:numPr>
          <w:ilvl w:val="0"/>
          <w:numId w:val="1"/>
        </w:numPr>
        <w:spacing w:after="120" w:line="290"/>
      </w:pPr>
      <w:r>
        <w:rPr>
          <w:rFonts w:ascii="Arial" w:cs="Arial" w:eastAsia="Arial" w:hAnsi="Arial"/>
          <w:color w:val="1A1A1A"/>
          <w:sz w:val="21"/>
          <w:szCs w:val="21"/>
        </w:rPr>
        <w:t xml:space="preserve">Don't recolor the wordmark outside the approved navy and coral palette.</w:t>
      </w:r>
    </w:p>
    <w:p>
      <w:pPr>
        <w:pStyle w:val="ListParagraph"/>
        <w:numPr>
          <w:ilvl w:val="0"/>
          <w:numId w:val="1"/>
        </w:numPr>
        <w:spacing w:after="120" w:line="290"/>
      </w:pPr>
      <w:r>
        <w:rPr>
          <w:rFonts w:ascii="Arial" w:cs="Arial" w:eastAsia="Arial" w:hAnsi="Arial"/>
          <w:color w:val="1A1A1A"/>
          <w:sz w:val="21"/>
          <w:szCs w:val="21"/>
        </w:rPr>
        <w:t xml:space="preserve">Don't stretch, skew, or rotate the logo.</w:t>
      </w:r>
    </w:p>
    <w:p>
      <w:pPr>
        <w:pStyle w:val="ListParagraph"/>
        <w:numPr>
          <w:ilvl w:val="0"/>
          <w:numId w:val="1"/>
        </w:numPr>
        <w:spacing w:after="120" w:line="290"/>
      </w:pPr>
      <w:r>
        <w:rPr>
          <w:rFonts w:ascii="Arial" w:cs="Arial" w:eastAsia="Arial" w:hAnsi="Arial"/>
          <w:color w:val="1A1A1A"/>
          <w:sz w:val="21"/>
          <w:szCs w:val="21"/>
        </w:rPr>
        <w:t xml:space="preserve">Don't place the logo on busy photography or low-contrast backgrounds.</w:t>
      </w:r>
    </w:p>
    <w:p>
      <w:pPr>
        <w:pStyle w:val="ListParagraph"/>
        <w:numPr>
          <w:ilvl w:val="0"/>
          <w:numId w:val="1"/>
        </w:numPr>
        <w:spacing w:after="120" w:line="290"/>
      </w:pPr>
      <w:r>
        <w:rPr>
          <w:rFonts w:ascii="Arial" w:cs="Arial" w:eastAsia="Arial" w:hAnsi="Arial"/>
          <w:color w:val="1A1A1A"/>
          <w:sz w:val="21"/>
          <w:szCs w:val="21"/>
        </w:rPr>
        <w:t xml:space="preserve">Don't recreate the wordmark in a different typeface — always use the master file.</w:t>
      </w:r>
    </w:p>
    <w:p>
      <w:pPr>
        <w:pStyle w:val="ListParagraph"/>
        <w:numPr>
          <w:ilvl w:val="0"/>
          <w:numId w:val="1"/>
        </w:numPr>
        <w:spacing w:after="120" w:line="290"/>
      </w:pPr>
      <w:r>
        <w:rPr>
          <w:rFonts w:ascii="Arial" w:cs="Arial" w:eastAsia="Arial" w:hAnsi="Arial"/>
          <w:color w:val="1A1A1A"/>
          <w:sz w:val="21"/>
          <w:szCs w:val="21"/>
        </w:rPr>
        <w:t xml:space="preserve">Don't separate "THE," "Modern CoS," and "LLC" into different layouts.</w:t>
      </w:r>
    </w:p>
    <w:p>
      <w:r>
        <w:br w:type="page"/>
      </w:r>
    </w:p>
    <w:p>
      <w:pPr>
        <w:spacing w:after="120" w:before="0"/>
      </w:pPr>
      <w:r>
        <w:rPr>
          <w:rFonts w:ascii="Arial" w:cs="Arial" w:eastAsia="Arial" w:hAnsi="Arial"/>
          <w:b/>
          <w:bCs/>
          <w:color w:val="E0705D"/>
          <w:spacing w:val="24"/>
          <w:sz w:val="18"/>
          <w:szCs w:val="18"/>
        </w:rPr>
        <w:t xml:space="preserve">SECTION 5</w:t>
      </w:r>
    </w:p>
    <w:p>
      <w:pPr>
        <w:pStyle w:val="Heading1"/>
        <w:spacing w:after="240" w:before="0"/>
      </w:pPr>
      <w:r>
        <w:rPr>
          <w:rFonts w:ascii="Arial" w:cs="Arial" w:eastAsia="Arial" w:hAnsi="Arial"/>
          <w:b/>
          <w:bCs/>
          <w:color w:val="052439"/>
          <w:sz w:val="40"/>
          <w:szCs w:val="40"/>
        </w:rPr>
        <w:t xml:space="preserve">Color Palette</w:t>
      </w:r>
    </w:p>
    <w:p>
      <w:pPr>
        <w:pBdr>
          <w:bottom w:val="single" w:color="D9D9D9" w:sz="6" w:space="1"/>
        </w:pBdr>
        <w:spacing w:after="260" w:before="60"/>
      </w:pPr>
    </w:p>
    <w:p>
      <w:pPr>
        <w:spacing w:after="200" w:before="0" w:line="300"/>
      </w:pPr>
      <w:r>
        <w:rPr>
          <w:rFonts w:ascii="Arial" w:cs="Arial" w:eastAsia="Arial" w:hAnsi="Arial"/>
          <w:i w:val="false"/>
          <w:iCs w:val="false"/>
          <w:color w:val="1A1A1A"/>
          <w:sz w:val="21"/>
          <w:szCs w:val="21"/>
        </w:rPr>
        <w:t xml:space="preserve">The palette is built from the logo itself — deep navy and warm coral, both sampled directly from the master file. Together they carry the brand's balance of trustworthy operator and human warmth.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052439" w:val="clear"/>
            <w:tcMar>
              <w:top w:type="dxa" w:w="300"/>
              <w:left w:type="dxa" w:w="160"/>
              <w:bottom w:type="dxa" w:w="300"/>
              <w:right w:type="dxa" w:w="160"/>
            </w:tcMar>
            <w:vAlign w:val="center"/>
          </w:tcPr>
          <w:p>
            <w:pPr>
              <w:jc w:val="center"/>
            </w:pPr>
            <w:r>
              <w:rPr>
                <w:rFonts w:ascii="Arial" w:cs="Arial" w:eastAsia="Arial" w:hAnsi="Arial"/>
                <w:b/>
                <w:bCs/>
                <w:color w:val="FFFFFF"/>
                <w:sz w:val="20"/>
                <w:szCs w:val="20"/>
              </w:rPr>
              <w:t xml:space="preserve">Navy</w:t>
            </w:r>
          </w:p>
        </w:tc>
        <w:tc>
          <w:tcPr>
            <w:tcW w:type="dxa" w:w="7480"/>
            <w:tcMar>
              <w:top w:type="dxa" w:w="160"/>
              <w:left w:type="dxa" w:w="220"/>
              <w:bottom w:type="dxa" w:w="160"/>
              <w:right w:type="dxa" w:w="160"/>
            </w:tcMar>
          </w:tcPr>
          <w:p>
            <w:pPr>
              <w:spacing w:after="40"/>
            </w:pPr>
            <w:r>
              <w:rPr>
                <w:rFonts w:ascii="Arial" w:cs="Arial" w:eastAsia="Arial" w:hAnsi="Arial"/>
                <w:b/>
                <w:bCs/>
                <w:color w:val="052439"/>
                <w:sz w:val="20"/>
                <w:szCs w:val="20"/>
              </w:rPr>
              <w:t xml:space="preserve">Primary — anchors trust, authority, and the operational core of the brand</w:t>
            </w:r>
          </w:p>
          <w:p>
            <w:pPr>
              <w:spacing w:after="20"/>
            </w:pPr>
            <w:r>
              <w:rPr>
                <w:rFonts w:ascii="Consolas" w:cs="Consolas" w:eastAsia="Consolas" w:hAnsi="Consolas"/>
                <w:color w:val="5C5C5C"/>
                <w:sz w:val="18"/>
                <w:szCs w:val="18"/>
              </w:rPr>
              <w:t xml:space="preserve">HEX  #052439</w:t>
            </w:r>
          </w:p>
          <w:p>
            <w:pPr>
              <w:spacing w:after="20"/>
            </w:pPr>
            <w:r>
              <w:rPr>
                <w:rFonts w:ascii="Consolas" w:cs="Consolas" w:eastAsia="Consolas" w:hAnsi="Consolas"/>
                <w:color w:val="5C5C5C"/>
                <w:sz w:val="18"/>
                <w:szCs w:val="18"/>
              </w:rPr>
              <w:t xml:space="preserve">RGB  5, 36, 57</w:t>
            </w:r>
          </w:p>
          <w:p>
            <w:r>
              <w:rPr>
                <w:rFonts w:ascii="Consolas" w:cs="Consolas" w:eastAsia="Consolas" w:hAnsi="Consolas"/>
                <w:color w:val="5C5C5C"/>
                <w:sz w:val="18"/>
                <w:szCs w:val="18"/>
              </w:rPr>
              <w:t xml:space="preserve">CMYK  C91 M37 Y0 K78</w:t>
            </w:r>
          </w:p>
        </w:tc>
      </w:tr>
      <w:tr>
        <w:tc>
          <w:tcPr>
            <w:tcW w:type="dxa" w:w="2600"/>
            <w:shd w:fill="E0705D" w:val="clear"/>
            <w:tcMar>
              <w:top w:type="dxa" w:w="300"/>
              <w:left w:type="dxa" w:w="160"/>
              <w:bottom w:type="dxa" w:w="300"/>
              <w:right w:type="dxa" w:w="160"/>
            </w:tcMar>
            <w:vAlign w:val="center"/>
          </w:tcPr>
          <w:p>
            <w:pPr>
              <w:jc w:val="center"/>
            </w:pPr>
            <w:r>
              <w:rPr>
                <w:rFonts w:ascii="Arial" w:cs="Arial" w:eastAsia="Arial" w:hAnsi="Arial"/>
                <w:b/>
                <w:bCs/>
                <w:color w:val="FFFFFF"/>
                <w:sz w:val="20"/>
                <w:szCs w:val="20"/>
              </w:rPr>
              <w:t xml:space="preserve">Coral</w:t>
            </w:r>
          </w:p>
        </w:tc>
        <w:tc>
          <w:tcPr>
            <w:tcW w:type="dxa" w:w="7480"/>
            <w:tcMar>
              <w:top w:type="dxa" w:w="160"/>
              <w:left w:type="dxa" w:w="220"/>
              <w:bottom w:type="dxa" w:w="160"/>
              <w:right w:type="dxa" w:w="160"/>
            </w:tcMar>
          </w:tcPr>
          <w:p>
            <w:pPr>
              <w:spacing w:after="40"/>
            </w:pPr>
            <w:r>
              <w:rPr>
                <w:rFonts w:ascii="Arial" w:cs="Arial" w:eastAsia="Arial" w:hAnsi="Arial"/>
                <w:b/>
                <w:bCs/>
                <w:color w:val="052439"/>
                <w:sz w:val="20"/>
                <w:szCs w:val="20"/>
              </w:rPr>
              <w:t xml:space="preserve">Accent — signals warmth, momentum, and the human side of the work</w:t>
            </w:r>
          </w:p>
          <w:p>
            <w:pPr>
              <w:spacing w:after="20"/>
            </w:pPr>
            <w:r>
              <w:rPr>
                <w:rFonts w:ascii="Consolas" w:cs="Consolas" w:eastAsia="Consolas" w:hAnsi="Consolas"/>
                <w:color w:val="5C5C5C"/>
                <w:sz w:val="18"/>
                <w:szCs w:val="18"/>
              </w:rPr>
              <w:t xml:space="preserve">HEX  #E0705D</w:t>
            </w:r>
          </w:p>
          <w:p>
            <w:pPr>
              <w:spacing w:after="20"/>
            </w:pPr>
            <w:r>
              <w:rPr>
                <w:rFonts w:ascii="Consolas" w:cs="Consolas" w:eastAsia="Consolas" w:hAnsi="Consolas"/>
                <w:color w:val="5C5C5C"/>
                <w:sz w:val="18"/>
                <w:szCs w:val="18"/>
              </w:rPr>
              <w:t xml:space="preserve">RGB  224, 112, 93</w:t>
            </w:r>
          </w:p>
          <w:p>
            <w:r>
              <w:rPr>
                <w:rFonts w:ascii="Consolas" w:cs="Consolas" w:eastAsia="Consolas" w:hAnsi="Consolas"/>
                <w:color w:val="5C5C5C"/>
                <w:sz w:val="18"/>
                <w:szCs w:val="18"/>
              </w:rPr>
              <w:t xml:space="preserve">CMYK  C0 M50 Y58 K12</w:t>
            </w:r>
          </w:p>
        </w:tc>
      </w:tr>
    </w:tbl>
    <w:p>
      <w:pPr>
        <w:pStyle w:val="Heading2"/>
        <w:spacing w:after="160" w:before="320"/>
      </w:pPr>
      <w:r>
        <w:rPr>
          <w:rFonts w:ascii="Arial" w:cs="Arial" w:eastAsia="Arial" w:hAnsi="Arial"/>
          <w:b/>
          <w:bCs/>
          <w:color w:val="052439"/>
          <w:sz w:val="26"/>
          <w:szCs w:val="26"/>
        </w:rPr>
        <w:t xml:space="preserve">Usage Ratio</w:t>
      </w:r>
    </w:p>
    <w:p>
      <w:pPr>
        <w:pStyle w:val="ListParagraph"/>
        <w:numPr>
          <w:ilvl w:val="0"/>
          <w:numId w:val="1"/>
        </w:numPr>
        <w:spacing w:after="120" w:line="290"/>
      </w:pPr>
      <w:r>
        <w:rPr>
          <w:rFonts w:ascii="Arial" w:cs="Arial" w:eastAsia="Arial" w:hAnsi="Arial"/>
          <w:color w:val="1A1A1A"/>
          <w:sz w:val="21"/>
          <w:szCs w:val="21"/>
        </w:rPr>
        <w:t xml:space="preserve">Navy carries the majority of any layout — backgrounds, headlines, primary text.</w:t>
      </w:r>
    </w:p>
    <w:p>
      <w:pPr>
        <w:pStyle w:val="ListParagraph"/>
        <w:numPr>
          <w:ilvl w:val="0"/>
          <w:numId w:val="1"/>
        </w:numPr>
        <w:spacing w:after="120" w:line="290"/>
      </w:pPr>
      <w:r>
        <w:rPr>
          <w:rFonts w:ascii="Arial" w:cs="Arial" w:eastAsia="Arial" w:hAnsi="Arial"/>
          <w:color w:val="1A1A1A"/>
          <w:sz w:val="21"/>
          <w:szCs w:val="21"/>
        </w:rPr>
        <w:t xml:space="preserve">Coral is the accent — CTAs, highlights, the "CoS" in the wordmark, key stats. Used sparingly, it stays sharp.</w:t>
      </w:r>
    </w:p>
    <w:p>
      <w:pPr>
        <w:pStyle w:val="ListParagraph"/>
        <w:numPr>
          <w:ilvl w:val="0"/>
          <w:numId w:val="1"/>
        </w:numPr>
        <w:spacing w:after="120" w:line="290"/>
      </w:pPr>
      <w:r>
        <w:rPr>
          <w:rFonts w:ascii="Arial" w:cs="Arial" w:eastAsia="Arial" w:hAnsi="Arial"/>
          <w:color w:val="1A1A1A"/>
          <w:sz w:val="21"/>
          <w:szCs w:val="21"/>
        </w:rPr>
        <w:t xml:space="preserve">White space does the rest of the work. Don't crowd navy and coral together without breathing room.</w:t>
      </w:r>
    </w:p>
    <w:p>
      <w:pPr>
        <w:pStyle w:val="Heading2"/>
        <w:spacing w:after="160" w:before="320"/>
      </w:pPr>
      <w:r>
        <w:rPr>
          <w:rFonts w:ascii="Arial" w:cs="Arial" w:eastAsia="Arial" w:hAnsi="Arial"/>
          <w:b/>
          <w:bCs/>
          <w:color w:val="052439"/>
          <w:sz w:val="26"/>
          <w:szCs w:val="26"/>
        </w:rPr>
        <w:t xml:space="preserve">Neutral Extension</w:t>
      </w:r>
    </w:p>
    <w:p>
      <w:pPr>
        <w:spacing w:after="200" w:before="0" w:line="300"/>
      </w:pPr>
      <w:r>
        <w:rPr>
          <w:rFonts w:ascii="Arial" w:cs="Arial" w:eastAsia="Arial" w:hAnsi="Arial"/>
          <w:i w:val="false"/>
          <w:iCs w:val="false"/>
          <w:color w:val="1A1A1A"/>
          <w:sz w:val="21"/>
          <w:szCs w:val="21"/>
        </w:rPr>
        <w:t xml:space="preserve">Only navy and coral are locked in the logo file today. For web and document layouts that need a supporting neutral (body backgrounds, dividers, muted text), the following are recommended defaults — not yet part of the verified brand asset, so treat as provisional until formally adopted:</w:t>
      </w:r>
    </w:p>
    <w:p>
      <w:pPr>
        <w:pStyle w:val="ListParagraph"/>
        <w:numPr>
          <w:ilvl w:val="0"/>
          <w:numId w:val="1"/>
        </w:numPr>
        <w:spacing w:after="120" w:line="290"/>
      </w:pPr>
      <w:r>
        <w:rPr>
          <w:rFonts w:ascii="Arial" w:cs="Arial" w:eastAsia="Arial" w:hAnsi="Arial"/>
          <w:color w:val="1A1A1A"/>
          <w:sz w:val="21"/>
          <w:szCs w:val="21"/>
        </w:rPr>
        <w:t xml:space="preserve">Off-white background: #F7F5F2</w:t>
      </w:r>
    </w:p>
    <w:p>
      <w:pPr>
        <w:pStyle w:val="ListParagraph"/>
        <w:numPr>
          <w:ilvl w:val="0"/>
          <w:numId w:val="1"/>
        </w:numPr>
        <w:spacing w:after="120" w:line="290"/>
      </w:pPr>
      <w:r>
        <w:rPr>
          <w:rFonts w:ascii="Arial" w:cs="Arial" w:eastAsia="Arial" w:hAnsi="Arial"/>
          <w:color w:val="1A1A1A"/>
          <w:sz w:val="21"/>
          <w:szCs w:val="21"/>
        </w:rPr>
        <w:t xml:space="preserve">Muted text / captions: #5C5C5C</w:t>
      </w:r>
    </w:p>
    <w:p>
      <w:pPr>
        <w:pStyle w:val="ListParagraph"/>
        <w:numPr>
          <w:ilvl w:val="0"/>
          <w:numId w:val="1"/>
        </w:numPr>
        <w:spacing w:after="120" w:line="290"/>
      </w:pPr>
      <w:r>
        <w:rPr>
          <w:rFonts w:ascii="Arial" w:cs="Arial" w:eastAsia="Arial" w:hAnsi="Arial"/>
          <w:color w:val="1A1A1A"/>
          <w:sz w:val="21"/>
          <w:szCs w:val="21"/>
        </w:rPr>
        <w:t xml:space="preserve">Hairline rules / dividers: #D9D9D9</w:t>
      </w:r>
    </w:p>
    <w:p>
      <w:r>
        <w:br w:type="page"/>
      </w:r>
    </w:p>
    <w:p>
      <w:pPr>
        <w:spacing w:after="120" w:before="0"/>
      </w:pPr>
      <w:r>
        <w:rPr>
          <w:rFonts w:ascii="Arial" w:cs="Arial" w:eastAsia="Arial" w:hAnsi="Arial"/>
          <w:b/>
          <w:bCs/>
          <w:color w:val="E0705D"/>
          <w:spacing w:val="24"/>
          <w:sz w:val="18"/>
          <w:szCs w:val="18"/>
        </w:rPr>
        <w:t xml:space="preserve">SECTION 6</w:t>
      </w:r>
    </w:p>
    <w:p>
      <w:pPr>
        <w:pStyle w:val="Heading1"/>
        <w:spacing w:after="240" w:before="0"/>
      </w:pPr>
      <w:r>
        <w:rPr>
          <w:rFonts w:ascii="Arial" w:cs="Arial" w:eastAsia="Arial" w:hAnsi="Arial"/>
          <w:b/>
          <w:bCs/>
          <w:color w:val="052439"/>
          <w:sz w:val="40"/>
          <w:szCs w:val="40"/>
        </w:rPr>
        <w:t xml:space="preserve">Typography</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Recommended Typefaces</w:t>
      </w:r>
    </w:p>
    <w:p>
      <w:pPr>
        <w:spacing w:after="200" w:before="0" w:line="300"/>
      </w:pPr>
      <w:r>
        <w:rPr>
          <w:rFonts w:ascii="Arial" w:cs="Arial" w:eastAsia="Arial" w:hAnsi="Arial"/>
          <w:i w:val="false"/>
          <w:iCs w:val="false"/>
          <w:color w:val="1A1A1A"/>
          <w:sz w:val="21"/>
          <w:szCs w:val="21"/>
        </w:rPr>
        <w:t xml:space="preserve">The logo pairs a bold, rounded geometric sans for "Modern CoS" with a lighter, widely tracked treatment for "THE" and "LLC." The recommended system typefaces carry that same contrast into web and document use, both free via Google Fonts:</w:t>
      </w:r>
    </w:p>
    <w:p>
      <w:pPr>
        <w:pStyle w:val="ListParagraph"/>
        <w:numPr>
          <w:ilvl w:val="0"/>
          <w:numId w:val="1"/>
        </w:numPr>
        <w:spacing w:after="120" w:line="290"/>
      </w:pPr>
      <w:r>
        <w:rPr>
          <w:rFonts w:ascii="Arial" w:cs="Arial" w:eastAsia="Arial" w:hAnsi="Arial"/>
          <w:color w:val="1A1A1A"/>
          <w:sz w:val="21"/>
          <w:szCs w:val="21"/>
        </w:rPr>
        <w:t xml:space="preserve">Headlines &amp; emphasis: Poppins (Bold / SemiBold) — geometric and rounded, closest system match to the wordmark</w:t>
      </w:r>
    </w:p>
    <w:p>
      <w:pPr>
        <w:pStyle w:val="ListParagraph"/>
        <w:numPr>
          <w:ilvl w:val="0"/>
          <w:numId w:val="1"/>
        </w:numPr>
        <w:spacing w:after="120" w:line="290"/>
      </w:pPr>
      <w:r>
        <w:rPr>
          <w:rFonts w:ascii="Arial" w:cs="Arial" w:eastAsia="Arial" w:hAnsi="Arial"/>
          <w:color w:val="1A1A1A"/>
          <w:sz w:val="21"/>
          <w:szCs w:val="21"/>
        </w:rPr>
        <w:t xml:space="preserve">Body copy: Inter (Regular / Medium) — clean and highly legible at small sizes, standard for the website build</w:t>
      </w:r>
    </w:p>
    <w:p>
      <w:pPr>
        <w:pStyle w:val="ListParagraph"/>
        <w:numPr>
          <w:ilvl w:val="0"/>
          <w:numId w:val="1"/>
        </w:numPr>
        <w:spacing w:after="120" w:line="290"/>
      </w:pPr>
      <w:r>
        <w:rPr>
          <w:rFonts w:ascii="Arial" w:cs="Arial" w:eastAsia="Arial" w:hAnsi="Arial"/>
          <w:color w:val="1A1A1A"/>
          <w:sz w:val="21"/>
          <w:szCs w:val="21"/>
        </w:rPr>
        <w:t xml:space="preserve">Labels &amp; eyebrows: Poppins or Inter, all caps, letter-spaced, small size — mirrors the "THE" / "LLC" treatment</w:t>
      </w:r>
    </w:p>
    <w:p>
      <w:pPr>
        <w:pStyle w:val="Heading2"/>
        <w:spacing w:after="160" w:before="320"/>
      </w:pPr>
      <w:r>
        <w:rPr>
          <w:rFonts w:ascii="Arial" w:cs="Arial" w:eastAsia="Arial" w:hAnsi="Arial"/>
          <w:b/>
          <w:bCs/>
          <w:color w:val="052439"/>
          <w:sz w:val="26"/>
          <w:szCs w:val="26"/>
        </w:rPr>
        <w:t xml:space="preserve">Type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shd w:fill="052439" w:val="clear"/>
            <w:tcMar>
              <w:top w:type="dxa" w:w="120"/>
              <w:left w:type="dxa" w:w="160"/>
              <w:bottom w:type="dxa" w:w="120"/>
              <w:right w:type="dxa" w:w="160"/>
            </w:tcMar>
          </w:tcPr>
          <w:p>
            <w:r>
              <w:rPr>
                <w:rFonts w:ascii="Arial" w:cs="Arial" w:eastAsia="Arial" w:hAnsi="Arial"/>
                <w:b/>
                <w:bCs/>
                <w:color w:val="FFFFFF"/>
                <w:sz w:val="20"/>
                <w:szCs w:val="20"/>
              </w:rPr>
              <w:t xml:space="preserve">Use</w:t>
            </w:r>
          </w:p>
        </w:tc>
        <w:tc>
          <w:tcPr>
            <w:tcW w:type="dxa" w:w="3200"/>
            <w:shd w:fill="052439" w:val="clear"/>
            <w:tcMar>
              <w:top w:type="dxa" w:w="120"/>
              <w:left w:type="dxa" w:w="160"/>
              <w:bottom w:type="dxa" w:w="120"/>
              <w:right w:type="dxa" w:w="160"/>
            </w:tcMar>
          </w:tcPr>
          <w:p>
            <w:r>
              <w:rPr>
                <w:rFonts w:ascii="Arial" w:cs="Arial" w:eastAsia="Arial" w:hAnsi="Arial"/>
                <w:b/>
                <w:bCs/>
                <w:color w:val="FFFFFF"/>
                <w:sz w:val="20"/>
                <w:szCs w:val="20"/>
              </w:rPr>
              <w:t xml:space="preserve">Typeface / Weight</w:t>
            </w:r>
          </w:p>
        </w:tc>
        <w:tc>
          <w:tcPr>
            <w:tcW w:type="dxa" w:w="3680"/>
            <w:shd w:fill="052439" w:val="clear"/>
            <w:tcMar>
              <w:top w:type="dxa" w:w="120"/>
              <w:left w:type="dxa" w:w="160"/>
              <w:bottom w:type="dxa" w:w="120"/>
              <w:right w:type="dxa" w:w="160"/>
            </w:tcMar>
          </w:tcPr>
          <w:p>
            <w:r>
              <w:rPr>
                <w:rFonts w:ascii="Arial" w:cs="Arial" w:eastAsia="Arial" w:hAnsi="Arial"/>
                <w:b/>
                <w:bCs/>
                <w:color w:val="FFFFFF"/>
                <w:sz w:val="20"/>
                <w:szCs w:val="20"/>
              </w:rPr>
              <w:t xml:space="preserve">Size (web)</w:t>
            </w:r>
          </w:p>
        </w:tc>
      </w:tr>
      <w:tr>
        <w:tc>
          <w:tcPr>
            <w:tcW w:type="dxa" w:w="3200"/>
            <w:shd w:fill="F5F5F5" w:val="clear"/>
            <w:tcMar>
              <w:top w:type="dxa" w:w="120"/>
              <w:left w:type="dxa" w:w="160"/>
              <w:bottom w:type="dxa" w:w="120"/>
              <w:right w:type="dxa" w:w="160"/>
            </w:tcMar>
          </w:tcPr>
          <w:p>
            <w:r>
              <w:rPr>
                <w:rFonts w:ascii="Arial" w:cs="Arial" w:eastAsia="Arial" w:hAnsi="Arial"/>
                <w:b/>
                <w:bCs/>
                <w:color w:val="052439"/>
                <w:sz w:val="19"/>
                <w:szCs w:val="19"/>
              </w:rPr>
              <w:t xml:space="preserve">H1 / Page Title</w:t>
            </w:r>
          </w:p>
        </w:tc>
        <w:tc>
          <w:tcPr>
            <w:tcW w:type="dxa" w:w="320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Poppins Bold</w:t>
            </w:r>
          </w:p>
        </w:tc>
        <w:tc>
          <w:tcPr>
            <w:tcW w:type="dxa" w:w="368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36–44px</w:t>
            </w:r>
          </w:p>
        </w:tc>
      </w:tr>
      <w:tr>
        <w:tc>
          <w:tcPr>
            <w:tcW w:type="dxa" w:w="3200"/>
            <w:shd w:fill="FFFFFF" w:val="clear"/>
            <w:tcMar>
              <w:top w:type="dxa" w:w="120"/>
              <w:left w:type="dxa" w:w="160"/>
              <w:bottom w:type="dxa" w:w="120"/>
              <w:right w:type="dxa" w:w="160"/>
            </w:tcMar>
          </w:tcPr>
          <w:p>
            <w:r>
              <w:rPr>
                <w:rFonts w:ascii="Arial" w:cs="Arial" w:eastAsia="Arial" w:hAnsi="Arial"/>
                <w:b/>
                <w:bCs/>
                <w:color w:val="052439"/>
                <w:sz w:val="19"/>
                <w:szCs w:val="19"/>
              </w:rPr>
              <w:t xml:space="preserve">H2 / Section Head</w:t>
            </w:r>
          </w:p>
        </w:tc>
        <w:tc>
          <w:tcPr>
            <w:tcW w:type="dxa" w:w="3200"/>
            <w:shd w:fill="FFFFFF" w:val="clear"/>
            <w:tcMar>
              <w:top w:type="dxa" w:w="120"/>
              <w:left w:type="dxa" w:w="160"/>
              <w:bottom w:type="dxa" w:w="120"/>
              <w:right w:type="dxa" w:w="160"/>
            </w:tcMar>
          </w:tcPr>
          <w:p>
            <w:r>
              <w:rPr>
                <w:rFonts w:ascii="Arial" w:cs="Arial" w:eastAsia="Arial" w:hAnsi="Arial"/>
                <w:b w:val="false"/>
                <w:bCs w:val="false"/>
                <w:color w:val="1A1A1A"/>
                <w:sz w:val="19"/>
                <w:szCs w:val="19"/>
              </w:rPr>
              <w:t xml:space="preserve">Poppins SemiBold</w:t>
            </w:r>
          </w:p>
        </w:tc>
        <w:tc>
          <w:tcPr>
            <w:tcW w:type="dxa" w:w="3680"/>
            <w:shd w:fill="FFFFFF" w:val="clear"/>
            <w:tcMar>
              <w:top w:type="dxa" w:w="120"/>
              <w:left w:type="dxa" w:w="160"/>
              <w:bottom w:type="dxa" w:w="120"/>
              <w:right w:type="dxa" w:w="160"/>
            </w:tcMar>
          </w:tcPr>
          <w:p>
            <w:r>
              <w:rPr>
                <w:rFonts w:ascii="Arial" w:cs="Arial" w:eastAsia="Arial" w:hAnsi="Arial"/>
                <w:b w:val="false"/>
                <w:bCs w:val="false"/>
                <w:color w:val="1A1A1A"/>
                <w:sz w:val="19"/>
                <w:szCs w:val="19"/>
              </w:rPr>
              <w:t xml:space="preserve">26–30px</w:t>
            </w:r>
          </w:p>
        </w:tc>
      </w:tr>
      <w:tr>
        <w:tc>
          <w:tcPr>
            <w:tcW w:type="dxa" w:w="3200"/>
            <w:shd w:fill="F5F5F5" w:val="clear"/>
            <w:tcMar>
              <w:top w:type="dxa" w:w="120"/>
              <w:left w:type="dxa" w:w="160"/>
              <w:bottom w:type="dxa" w:w="120"/>
              <w:right w:type="dxa" w:w="160"/>
            </w:tcMar>
          </w:tcPr>
          <w:p>
            <w:r>
              <w:rPr>
                <w:rFonts w:ascii="Arial" w:cs="Arial" w:eastAsia="Arial" w:hAnsi="Arial"/>
                <w:b/>
                <w:bCs/>
                <w:color w:val="052439"/>
                <w:sz w:val="19"/>
                <w:szCs w:val="19"/>
              </w:rPr>
              <w:t xml:space="preserve">H3 / Subhead</w:t>
            </w:r>
          </w:p>
        </w:tc>
        <w:tc>
          <w:tcPr>
            <w:tcW w:type="dxa" w:w="320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Poppins Medium</w:t>
            </w:r>
          </w:p>
        </w:tc>
        <w:tc>
          <w:tcPr>
            <w:tcW w:type="dxa" w:w="368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20–22px</w:t>
            </w:r>
          </w:p>
        </w:tc>
      </w:tr>
      <w:tr>
        <w:tc>
          <w:tcPr>
            <w:tcW w:type="dxa" w:w="3200"/>
            <w:shd w:fill="FFFFFF" w:val="clear"/>
            <w:tcMar>
              <w:top w:type="dxa" w:w="120"/>
              <w:left w:type="dxa" w:w="160"/>
              <w:bottom w:type="dxa" w:w="120"/>
              <w:right w:type="dxa" w:w="160"/>
            </w:tcMar>
          </w:tcPr>
          <w:p>
            <w:r>
              <w:rPr>
                <w:rFonts w:ascii="Arial" w:cs="Arial" w:eastAsia="Arial" w:hAnsi="Arial"/>
                <w:b/>
                <w:bCs/>
                <w:color w:val="052439"/>
                <w:sz w:val="19"/>
                <w:szCs w:val="19"/>
              </w:rPr>
              <w:t xml:space="preserve">Body</w:t>
            </w:r>
          </w:p>
        </w:tc>
        <w:tc>
          <w:tcPr>
            <w:tcW w:type="dxa" w:w="3200"/>
            <w:shd w:fill="FFFFFF" w:val="clear"/>
            <w:tcMar>
              <w:top w:type="dxa" w:w="120"/>
              <w:left w:type="dxa" w:w="160"/>
              <w:bottom w:type="dxa" w:w="120"/>
              <w:right w:type="dxa" w:w="160"/>
            </w:tcMar>
          </w:tcPr>
          <w:p>
            <w:r>
              <w:rPr>
                <w:rFonts w:ascii="Arial" w:cs="Arial" w:eastAsia="Arial" w:hAnsi="Arial"/>
                <w:b w:val="false"/>
                <w:bCs w:val="false"/>
                <w:color w:val="1A1A1A"/>
                <w:sz w:val="19"/>
                <w:szCs w:val="19"/>
              </w:rPr>
              <w:t xml:space="preserve">Inter Regular</w:t>
            </w:r>
          </w:p>
        </w:tc>
        <w:tc>
          <w:tcPr>
            <w:tcW w:type="dxa" w:w="3680"/>
            <w:shd w:fill="FFFFFF" w:val="clear"/>
            <w:tcMar>
              <w:top w:type="dxa" w:w="120"/>
              <w:left w:type="dxa" w:w="160"/>
              <w:bottom w:type="dxa" w:w="120"/>
              <w:right w:type="dxa" w:w="160"/>
            </w:tcMar>
          </w:tcPr>
          <w:p>
            <w:r>
              <w:rPr>
                <w:rFonts w:ascii="Arial" w:cs="Arial" w:eastAsia="Arial" w:hAnsi="Arial"/>
                <w:b w:val="false"/>
                <w:bCs w:val="false"/>
                <w:color w:val="1A1A1A"/>
                <w:sz w:val="19"/>
                <w:szCs w:val="19"/>
              </w:rPr>
              <w:t xml:space="preserve">16–18px</w:t>
            </w:r>
          </w:p>
        </w:tc>
      </w:tr>
      <w:tr>
        <w:tc>
          <w:tcPr>
            <w:tcW w:type="dxa" w:w="3200"/>
            <w:shd w:fill="F5F5F5" w:val="clear"/>
            <w:tcMar>
              <w:top w:type="dxa" w:w="120"/>
              <w:left w:type="dxa" w:w="160"/>
              <w:bottom w:type="dxa" w:w="120"/>
              <w:right w:type="dxa" w:w="160"/>
            </w:tcMar>
          </w:tcPr>
          <w:p>
            <w:r>
              <w:rPr>
                <w:rFonts w:ascii="Arial" w:cs="Arial" w:eastAsia="Arial" w:hAnsi="Arial"/>
                <w:b/>
                <w:bCs/>
                <w:color w:val="052439"/>
                <w:sz w:val="19"/>
                <w:szCs w:val="19"/>
              </w:rPr>
              <w:t xml:space="preserve">Caption / Label</w:t>
            </w:r>
          </w:p>
        </w:tc>
        <w:tc>
          <w:tcPr>
            <w:tcW w:type="dxa" w:w="320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Inter Medium, tracked, all caps</w:t>
            </w:r>
          </w:p>
        </w:tc>
        <w:tc>
          <w:tcPr>
            <w:tcW w:type="dxa" w:w="3680"/>
            <w:shd w:fill="F5F5F5" w:val="clear"/>
            <w:tcMar>
              <w:top w:type="dxa" w:w="120"/>
              <w:left w:type="dxa" w:w="160"/>
              <w:bottom w:type="dxa" w:w="120"/>
              <w:right w:type="dxa" w:w="160"/>
            </w:tcMar>
          </w:tcPr>
          <w:p>
            <w:r>
              <w:rPr>
                <w:rFonts w:ascii="Arial" w:cs="Arial" w:eastAsia="Arial" w:hAnsi="Arial"/>
                <w:b w:val="false"/>
                <w:bCs w:val="false"/>
                <w:color w:val="1A1A1A"/>
                <w:sz w:val="19"/>
                <w:szCs w:val="19"/>
              </w:rPr>
              <w:t xml:space="preserve">12–13px</w:t>
            </w:r>
          </w:p>
        </w:tc>
      </w:tr>
    </w:tbl>
    <w:p>
      <w:r>
        <w:br w:type="page"/>
      </w:r>
    </w:p>
    <w:p>
      <w:pPr>
        <w:spacing w:after="120" w:before="0"/>
      </w:pPr>
      <w:r>
        <w:rPr>
          <w:rFonts w:ascii="Arial" w:cs="Arial" w:eastAsia="Arial" w:hAnsi="Arial"/>
          <w:b/>
          <w:bCs/>
          <w:color w:val="E0705D"/>
          <w:spacing w:val="24"/>
          <w:sz w:val="18"/>
          <w:szCs w:val="18"/>
        </w:rPr>
        <w:t xml:space="preserve">SECTION 7</w:t>
      </w:r>
    </w:p>
    <w:p>
      <w:pPr>
        <w:pStyle w:val="Heading1"/>
        <w:spacing w:after="240" w:before="0"/>
      </w:pPr>
      <w:r>
        <w:rPr>
          <w:rFonts w:ascii="Arial" w:cs="Arial" w:eastAsia="Arial" w:hAnsi="Arial"/>
          <w:b/>
          <w:bCs/>
          <w:color w:val="052439"/>
          <w:sz w:val="40"/>
          <w:szCs w:val="40"/>
        </w:rPr>
        <w:t xml:space="preserve">Quick Reference</w:t>
      </w:r>
    </w:p>
    <w:p>
      <w:pPr>
        <w:pBdr>
          <w:bottom w:val="single" w:color="D9D9D9" w:sz="6" w:space="1"/>
        </w:pBdr>
        <w:spacing w:after="260" w:before="60"/>
      </w:pPr>
    </w:p>
    <w:p>
      <w:pPr>
        <w:pStyle w:val="Heading2"/>
        <w:spacing w:after="160" w:before="320"/>
      </w:pPr>
      <w:r>
        <w:rPr>
          <w:rFonts w:ascii="Arial" w:cs="Arial" w:eastAsia="Arial" w:hAnsi="Arial"/>
          <w:b/>
          <w:bCs/>
          <w:color w:val="052439"/>
          <w:sz w:val="26"/>
          <w:szCs w:val="26"/>
        </w:rPr>
        <w:t xml:space="preserve">Tagline</w:t>
      </w:r>
    </w:p>
    <w:p>
      <w:pPr>
        <w:spacing w:after="200" w:before="0" w:line="300"/>
      </w:pPr>
      <w:r>
        <w:rPr>
          <w:rFonts w:ascii="Arial" w:cs="Arial" w:eastAsia="Arial" w:hAnsi="Arial"/>
          <w:i w:val="false"/>
          <w:iCs w:val="false"/>
          <w:color w:val="1A1A1A"/>
          <w:sz w:val="21"/>
          <w:szCs w:val="21"/>
        </w:rPr>
        <w:t xml:space="preserve">“Automate • Optimize • Grow” — always used with the full logo lockup, never restated as a standalone slogan without the mark.</w:t>
      </w:r>
    </w:p>
    <w:p>
      <w:pPr>
        <w:pStyle w:val="Heading2"/>
        <w:spacing w:after="160" w:before="320"/>
      </w:pPr>
      <w:r>
        <w:rPr>
          <w:rFonts w:ascii="Arial" w:cs="Arial" w:eastAsia="Arial" w:hAnsi="Arial"/>
          <w:b/>
          <w:bCs/>
          <w:color w:val="052439"/>
          <w:sz w:val="26"/>
          <w:szCs w:val="26"/>
        </w:rPr>
        <w:t xml:space="preserve">Trademark Note</w:t>
      </w:r>
    </w:p>
    <w:p>
      <w:pPr>
        <w:spacing w:after="200" w:before="0" w:line="300"/>
      </w:pPr>
      <w:r>
        <w:rPr>
          <w:rFonts w:ascii="Arial" w:cs="Arial" w:eastAsia="Arial" w:hAnsi="Arial"/>
          <w:i w:val="false"/>
          <w:iCs w:val="false"/>
          <w:color w:val="1A1A1A"/>
          <w:sz w:val="21"/>
          <w:szCs w:val="21"/>
        </w:rPr>
        <w:t xml:space="preserve">CoS Scan™, CoS Sprint™, Ops Intake™, and CoS on Call™ are verified. The Ops Seat™ and The CoS Method™ are pending final availability confirmation. Standing rule: verify name and trademark availability before any public use of a new offer name.</w:t>
      </w:r>
    </w:p>
    <w:p>
      <w:pPr>
        <w:pStyle w:val="Heading2"/>
        <w:spacing w:after="160" w:before="320"/>
      </w:pPr>
      <w:r>
        <w:rPr>
          <w:rFonts w:ascii="Arial" w:cs="Arial" w:eastAsia="Arial" w:hAnsi="Arial"/>
          <w:b/>
          <w:bCs/>
          <w:color w:val="052439"/>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F5F5F5" w:val="clear"/>
            <w:tcMar>
              <w:top w:type="dxa" w:w="120"/>
              <w:left w:type="dxa" w:w="160"/>
              <w:bottom w:type="dxa" w:w="120"/>
              <w:right w:type="dxa" w:w="160"/>
            </w:tcMar>
          </w:tcPr>
          <w:p>
            <w:r>
              <w:rPr>
                <w:rFonts w:ascii="Arial" w:cs="Arial" w:eastAsia="Arial" w:hAnsi="Arial"/>
                <w:b/>
                <w:bCs/>
                <w:color w:val="052439"/>
                <w:sz w:val="19"/>
                <w:szCs w:val="19"/>
              </w:rPr>
              <w:t xml:space="preserve">Navy</w:t>
            </w:r>
          </w:p>
        </w:tc>
        <w:tc>
          <w:tcPr>
            <w:tcW w:type="dxa" w:w="7280"/>
            <w:shd w:fill="F5F5F5" w:val="clear"/>
            <w:tcMar>
              <w:top w:type="dxa" w:w="120"/>
              <w:left w:type="dxa" w:w="160"/>
              <w:bottom w:type="dxa" w:w="120"/>
              <w:right w:type="dxa" w:w="160"/>
            </w:tcMar>
          </w:tcPr>
          <w:p>
            <w:r>
              <w:rPr>
                <w:rFonts w:ascii="Arial" w:cs="Arial" w:eastAsia="Arial" w:hAnsi="Arial"/>
                <w:color w:val="1A1A1A"/>
                <w:sz w:val="19"/>
                <w:szCs w:val="19"/>
              </w:rPr>
              <w:t xml:space="preserve">#052439 — primary</w:t>
            </w:r>
          </w:p>
        </w:tc>
      </w:tr>
      <w:tr>
        <w:tc>
          <w:tcPr>
            <w:tcW w:type="dxa" w:w="2800"/>
            <w:shd w:fill="FFFFFF" w:val="clear"/>
            <w:tcMar>
              <w:top w:type="dxa" w:w="120"/>
              <w:left w:type="dxa" w:w="160"/>
              <w:bottom w:type="dxa" w:w="120"/>
              <w:right w:type="dxa" w:w="160"/>
            </w:tcMar>
          </w:tcPr>
          <w:p>
            <w:r>
              <w:rPr>
                <w:rFonts w:ascii="Arial" w:cs="Arial" w:eastAsia="Arial" w:hAnsi="Arial"/>
                <w:b/>
                <w:bCs/>
                <w:color w:val="052439"/>
                <w:sz w:val="19"/>
                <w:szCs w:val="19"/>
              </w:rPr>
              <w:t xml:space="preserve">Coral</w:t>
            </w:r>
          </w:p>
        </w:tc>
        <w:tc>
          <w:tcPr>
            <w:tcW w:type="dxa" w:w="7280"/>
            <w:shd w:fill="FFFFFF" w:val="clear"/>
            <w:tcMar>
              <w:top w:type="dxa" w:w="120"/>
              <w:left w:type="dxa" w:w="160"/>
              <w:bottom w:type="dxa" w:w="120"/>
              <w:right w:type="dxa" w:w="160"/>
            </w:tcMar>
          </w:tcPr>
          <w:p>
            <w:r>
              <w:rPr>
                <w:rFonts w:ascii="Arial" w:cs="Arial" w:eastAsia="Arial" w:hAnsi="Arial"/>
                <w:color w:val="1A1A1A"/>
                <w:sz w:val="19"/>
                <w:szCs w:val="19"/>
              </w:rPr>
              <w:t xml:space="preserve">#E0705D — accent</w:t>
            </w:r>
          </w:p>
        </w:tc>
      </w:tr>
      <w:tr>
        <w:tc>
          <w:tcPr>
            <w:tcW w:type="dxa" w:w="2800"/>
            <w:shd w:fill="F5F5F5" w:val="clear"/>
            <w:tcMar>
              <w:top w:type="dxa" w:w="120"/>
              <w:left w:type="dxa" w:w="160"/>
              <w:bottom w:type="dxa" w:w="120"/>
              <w:right w:type="dxa" w:w="160"/>
            </w:tcMar>
          </w:tcPr>
          <w:p>
            <w:r>
              <w:rPr>
                <w:rFonts w:ascii="Arial" w:cs="Arial" w:eastAsia="Arial" w:hAnsi="Arial"/>
                <w:b/>
                <w:bCs/>
                <w:color w:val="052439"/>
                <w:sz w:val="19"/>
                <w:szCs w:val="19"/>
              </w:rPr>
              <w:t xml:space="preserve">Headline font</w:t>
            </w:r>
          </w:p>
        </w:tc>
        <w:tc>
          <w:tcPr>
            <w:tcW w:type="dxa" w:w="7280"/>
            <w:shd w:fill="F5F5F5" w:val="clear"/>
            <w:tcMar>
              <w:top w:type="dxa" w:w="120"/>
              <w:left w:type="dxa" w:w="160"/>
              <w:bottom w:type="dxa" w:w="120"/>
              <w:right w:type="dxa" w:w="160"/>
            </w:tcMar>
          </w:tcPr>
          <w:p>
            <w:r>
              <w:rPr>
                <w:rFonts w:ascii="Arial" w:cs="Arial" w:eastAsia="Arial" w:hAnsi="Arial"/>
                <w:color w:val="1A1A1A"/>
                <w:sz w:val="19"/>
                <w:szCs w:val="19"/>
              </w:rPr>
              <w:t xml:space="preserve">Poppins (Bold / SemiBold)</w:t>
            </w:r>
          </w:p>
        </w:tc>
      </w:tr>
      <w:tr>
        <w:tc>
          <w:tcPr>
            <w:tcW w:type="dxa" w:w="2800"/>
            <w:shd w:fill="FFFFFF" w:val="clear"/>
            <w:tcMar>
              <w:top w:type="dxa" w:w="120"/>
              <w:left w:type="dxa" w:w="160"/>
              <w:bottom w:type="dxa" w:w="120"/>
              <w:right w:type="dxa" w:w="160"/>
            </w:tcMar>
          </w:tcPr>
          <w:p>
            <w:r>
              <w:rPr>
                <w:rFonts w:ascii="Arial" w:cs="Arial" w:eastAsia="Arial" w:hAnsi="Arial"/>
                <w:b/>
                <w:bCs/>
                <w:color w:val="052439"/>
                <w:sz w:val="19"/>
                <w:szCs w:val="19"/>
              </w:rPr>
              <w:t xml:space="preserve">Body font</w:t>
            </w:r>
          </w:p>
        </w:tc>
        <w:tc>
          <w:tcPr>
            <w:tcW w:type="dxa" w:w="7280"/>
            <w:shd w:fill="FFFFFF" w:val="clear"/>
            <w:tcMar>
              <w:top w:type="dxa" w:w="120"/>
              <w:left w:type="dxa" w:w="160"/>
              <w:bottom w:type="dxa" w:w="120"/>
              <w:right w:type="dxa" w:w="160"/>
            </w:tcMar>
          </w:tcPr>
          <w:p>
            <w:r>
              <w:rPr>
                <w:rFonts w:ascii="Arial" w:cs="Arial" w:eastAsia="Arial" w:hAnsi="Arial"/>
                <w:color w:val="1A1A1A"/>
                <w:sz w:val="19"/>
                <w:szCs w:val="19"/>
              </w:rPr>
              <w:t xml:space="preserve">Inter (Regular / Medium)</w:t>
            </w:r>
          </w:p>
        </w:tc>
      </w:tr>
      <w:tr>
        <w:tc>
          <w:tcPr>
            <w:tcW w:type="dxa" w:w="2800"/>
            <w:shd w:fill="F5F5F5" w:val="clear"/>
            <w:tcMar>
              <w:top w:type="dxa" w:w="120"/>
              <w:left w:type="dxa" w:w="160"/>
              <w:bottom w:type="dxa" w:w="120"/>
              <w:right w:type="dxa" w:w="160"/>
            </w:tcMar>
          </w:tcPr>
          <w:p>
            <w:r>
              <w:rPr>
                <w:rFonts w:ascii="Arial" w:cs="Arial" w:eastAsia="Arial" w:hAnsi="Arial"/>
                <w:b/>
                <w:bCs/>
                <w:color w:val="052439"/>
                <w:sz w:val="19"/>
                <w:szCs w:val="19"/>
              </w:rPr>
              <w:t xml:space="preserve">Voice</w:t>
            </w:r>
          </w:p>
        </w:tc>
        <w:tc>
          <w:tcPr>
            <w:tcW w:type="dxa" w:w="7280"/>
            <w:shd w:fill="F5F5F5" w:val="clear"/>
            <w:tcMar>
              <w:top w:type="dxa" w:w="120"/>
              <w:left w:type="dxa" w:w="160"/>
              <w:bottom w:type="dxa" w:w="120"/>
              <w:right w:type="dxa" w:w="160"/>
            </w:tcMar>
          </w:tcPr>
          <w:p>
            <w:r>
              <w:rPr>
                <w:rFonts w:ascii="Arial" w:cs="Arial" w:eastAsia="Arial" w:hAnsi="Arial"/>
                <w:color w:val="1A1A1A"/>
                <w:sz w:val="19"/>
                <w:szCs w:val="19"/>
              </w:rPr>
              <w:t xml:space="preserve">Direct, practical, outcome-first — no corporate filler</w:t>
            </w:r>
          </w:p>
        </w:tc>
      </w:tr>
      <w:tr>
        <w:tc>
          <w:tcPr>
            <w:tcW w:type="dxa" w:w="2800"/>
            <w:shd w:fill="FFFFFF" w:val="clear"/>
            <w:tcMar>
              <w:top w:type="dxa" w:w="120"/>
              <w:left w:type="dxa" w:w="160"/>
              <w:bottom w:type="dxa" w:w="120"/>
              <w:right w:type="dxa" w:w="160"/>
            </w:tcMar>
          </w:tcPr>
          <w:p>
            <w:r>
              <w:rPr>
                <w:rFonts w:ascii="Arial" w:cs="Arial" w:eastAsia="Arial" w:hAnsi="Arial"/>
                <w:b/>
                <w:bCs/>
                <w:color w:val="052439"/>
                <w:sz w:val="19"/>
                <w:szCs w:val="19"/>
              </w:rPr>
              <w:t xml:space="preserve">Tagline</w:t>
            </w:r>
          </w:p>
        </w:tc>
        <w:tc>
          <w:tcPr>
            <w:tcW w:type="dxa" w:w="7280"/>
            <w:shd w:fill="FFFFFF" w:val="clear"/>
            <w:tcMar>
              <w:top w:type="dxa" w:w="120"/>
              <w:left w:type="dxa" w:w="160"/>
              <w:bottom w:type="dxa" w:w="120"/>
              <w:right w:type="dxa" w:w="160"/>
            </w:tcMar>
          </w:tcPr>
          <w:p>
            <w:r>
              <w:rPr>
                <w:rFonts w:ascii="Arial" w:cs="Arial" w:eastAsia="Arial" w:hAnsi="Arial"/>
                <w:color w:val="1A1A1A"/>
                <w:sz w:val="19"/>
                <w:szCs w:val="19"/>
              </w:rPr>
              <w:t xml:space="preserve">Automate • Optimize • Grow</w:t>
            </w:r>
          </w:p>
        </w:tc>
      </w:tr>
    </w:tbl>
    <w:p>
      <w:pPr>
        <w:spacing w:before="500"/>
      </w:pPr>
      <w:r>
        <w:rPr>
          <w:rFonts w:ascii="Arial" w:cs="Arial" w:eastAsia="Arial" w:hAnsi="Arial"/>
          <w:i/>
          <w:iCs/>
          <w:color w:val="5C5C5C"/>
          <w:sz w:val="16"/>
          <w:szCs w:val="16"/>
        </w:rPr>
        <w:t xml:space="preserve">Living document — update as pricing, naming, and trademark decisions finalize.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099c07b721a96d953e308d77e5cd2681b646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2026-07-25T00:08:02.256Z</dcterms:created>
  <dcterms:modified xsi:type="dcterms:W3CDTF">2026-07-25T00:08:02.275Z</dcterms:modified>
</cp:coreProperties>
</file>

<file path=docProps/custom.xml><?xml version="1.0" encoding="utf-8"?>
<Properties xmlns="http://schemas.openxmlformats.org/officeDocument/2006/custom-properties" xmlns:vt="http://schemas.openxmlformats.org/officeDocument/2006/docPropsVTypes"/>
</file>