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Cộng hòa xã hội chủ nghĩa Việt Nam</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u w:val="single"/>
          <w:rtl w:val="0"/>
        </w:rPr>
        <w:t xml:space="preserve">Độc lập - Tự do - Hạnh phúc</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ĐƠN KHIẾU NẠI</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i w:val="1"/>
          <w:sz w:val="28"/>
          <w:rtl w:val="0"/>
        </w:rPr>
        <w:t xml:space="preserve">Công văn số 152/UBND ngày 27/10/2014 của UBND xã Tịnh Khê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sz w:val="28"/>
          <w:u w:val="single"/>
          <w:rtl w:val="0"/>
        </w:rPr>
        <w:t xml:space="preserve">Kính gửi:</w:t>
      </w:r>
      <w:r w:rsidRPr="00000000" w:rsidR="00000000" w:rsidDel="00000000">
        <w:rPr>
          <w:rFonts w:cs="Times New Roman" w:hAnsi="Times New Roman" w:eastAsia="Times New Roman" w:ascii="Times New Roman"/>
          <w:sz w:val="28"/>
          <w:rtl w:val="0"/>
        </w:rPr>
        <w:t xml:space="preserve">         -    Chủ tịch UBND xã Tịnh Khê</w:t>
      </w:r>
    </w:p>
    <w:p w:rsidP="00000000" w:rsidRPr="00000000" w:rsidR="00000000" w:rsidDel="00000000" w:rsidRDefault="00000000">
      <w:pPr>
        <w:numPr>
          <w:ilvl w:val="0"/>
          <w:numId w:val="1"/>
        </w:numPr>
        <w:ind w:left="216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Chủ tịch UBND Thành phố Quảng Ngãi</w:t>
      </w:r>
    </w:p>
    <w:p w:rsidP="00000000" w:rsidRPr="00000000" w:rsidR="00000000" w:rsidDel="00000000" w:rsidRDefault="00000000">
      <w:pPr>
        <w:numPr>
          <w:ilvl w:val="0"/>
          <w:numId w:val="1"/>
        </w:numPr>
        <w:ind w:left="216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Bí thư thành ủy thành phố Quảng Ngãi</w:t>
      </w:r>
    </w:p>
    <w:p w:rsidP="00000000" w:rsidRPr="00000000" w:rsidR="00000000" w:rsidDel="00000000" w:rsidRDefault="00000000">
      <w:pPr>
        <w:numPr>
          <w:ilvl w:val="0"/>
          <w:numId w:val="1"/>
        </w:numPr>
        <w:ind w:left="216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Phòng Tài nguyên và Môi trường thành phố Quảng Ngãi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Tôi tên là: Nguyễn Hoàng, sinh năm 1956</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Vợ tôi tên là: Phạm Thị Hoa, sinh năm 1958</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Hộ khẩu thường trú tại xóm Khê Thanh, thôn Mỹ Lại, xã Tịnh Khê, thành phố Quảng Ngãi.</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Kính thưa quí cấp, vợ tôi (Phạm Thị Hoa) trước đây là cán bộ, công nhân viên công tác tại Công ty liên doanh thủy sản Sơn Tịnh, trụ sở tại xóm Khê Thanh, thôn Mỹ Lại, xã Tịnh Khê. Tháng 08/1988, Ban giám đốc Công ty thống nhất bố trí đất của công ty cho gia đình tôi làm nhà ở, từ đó mãi đến nay ổn định, không có tranh chấp đất đai, tài sản gắn liền với đất. Tháng 8/2014, tôi làm đơn đăng ký cấp giấy chứng nhận quyền sử dụng đất, quyền sở hữu nhà ở và tài sản gắn liền với đất và nộp hồ sơ cho UBND xã Tịnh Khê để xem xét cấp giấy chứng nhận quyền sử dụng đất theo Điều 20 Nghị định số 43/2014/NĐ-CP ngày 15/5/2014 của Chính phủ quy định chi tiết thi hành một số điều của luật đất đai.</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Trong thời gian UBND xã Tịnh Khê nhận hồ sơ của tôi đã không xem xét trình tự, thủ tục đăng ký đất đai, cấp giấy chứng nhận quyền sử dụng đất theo qui định tại Điều 70 mà ngược lại xem xét tại Điều 22 Nghị định số 43/2014/NĐ-CP ngày 15/5/2014. Nên ông Nguyễn Chí Cường - Phó chủ tịch UBND xã Tịnh Khê đã ký công văn số 152/UBND ngày 27/10/2014 về việc trả lời đơn cấp giấy CNQSDĐ của ông Nguyễn Hoàng và bà Phạm Thị Hoa.</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Qua xem xét nội dung công văn nói trên, tôi xin khiếu nại những việc như sau:</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Thứ nhất: Việc sử dụng đất của gia đình tôi là không có giấy tờ, nên tôi mới làm đơn xin cấp giấy CNQSDĐ theo Điều 20 của Nghị định số 43. Vậy ông Nguyễn Chí Cường dựa vào cơ sở, chứng cứ nào mà ông nói nguồn gốc đất của gia đình tôi đang sử dụng là do lấn chiếm, UBND huyện Sơn Tịnh giao cho UBND xã Tịnh Khê quản lý thửa đất số 651/5460m</w:t>
      </w:r>
      <w:r w:rsidRPr="00000000" w:rsidR="00000000" w:rsidDel="00000000">
        <w:rPr>
          <w:rFonts w:cs="Times New Roman" w:hAnsi="Times New Roman" w:eastAsia="Times New Roman" w:ascii="Times New Roman"/>
          <w:sz w:val="28"/>
          <w:vertAlign w:val="superscript"/>
          <w:rtl w:val="0"/>
        </w:rPr>
        <w:t xml:space="preserve">2 </w:t>
      </w:r>
      <w:r w:rsidRPr="00000000" w:rsidR="00000000" w:rsidDel="00000000">
        <w:rPr>
          <w:rFonts w:cs="Times New Roman" w:hAnsi="Times New Roman" w:eastAsia="Times New Roman" w:ascii="Times New Roman"/>
          <w:sz w:val="28"/>
          <w:rtl w:val="0"/>
        </w:rPr>
        <w:t xml:space="preserve">, tờ bản đồ số 7 theo quyết định nào và năm nào.</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Thứ hai: ông Nguyễn Chí Cường nói tham chiếu các văn bản của UBND tỉnh và UBND thành phố Quảng Ngãi về quy hoạch khu du lịch nghỉ dưỡng, quy hoạch sử dụng đất, chấn chỉnh và xử lý các vấn đề còn tồn tại trong việc quản lý, sử dụng tài sản công trên địa bàn tỉnh, về việc xây dựng phương án thu hồi đất là để áp đặt đến việc sử dụng đất của gia đình tôi thời gian đến sẽ bị xử lý.</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Qua hai việc tôi nêu trên là hành vi trái pháp luật, xâm phạm quyền, lợi ích hợp pháp của gia đình tôi.</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Kính mong quí cấp quan tâm xem xét giải quyết, tôi chân thành cảm ơn.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ab/>
        <w:tab/>
        <w:tab/>
        <w:tab/>
        <w:tab/>
        <w:tab/>
        <w:tab/>
      </w:r>
      <w:r w:rsidRPr="00000000" w:rsidR="00000000" w:rsidDel="00000000">
        <w:rPr>
          <w:rFonts w:cs="Times New Roman" w:hAnsi="Times New Roman" w:eastAsia="Times New Roman" w:ascii="Times New Roman"/>
          <w:i w:val="1"/>
          <w:sz w:val="28"/>
          <w:rtl w:val="0"/>
        </w:rPr>
        <w:t xml:space="preserve">Tịnh Khê, ngày 02/11/2014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ab/>
        <w:tab/>
        <w:tab/>
        <w:tab/>
        <w:tab/>
        <w:tab/>
        <w:tab/>
        <w:t xml:space="preserve">           Người làm đơn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ab/>
        <w:tab/>
        <w:tab/>
        <w:tab/>
        <w:tab/>
        <w:tab/>
        <w:tab/>
        <w:t xml:space="preserve">           </w:t>
      </w:r>
      <w:r w:rsidRPr="00000000" w:rsidR="00000000" w:rsidDel="00000000">
        <w:rPr>
          <w:rFonts w:cs="Times New Roman" w:hAnsi="Times New Roman" w:eastAsia="Times New Roman" w:ascii="Times New Roman"/>
          <w:b w:val="1"/>
          <w:sz w:val="28"/>
          <w:rtl w:val="0"/>
        </w:rPr>
        <w:t xml:space="preserve">Nguyễn Hoàng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440" w:right="994"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Đơn Khiếu Nại.docx</dc:title>
</cp:coreProperties>
</file>