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682676fb77897b9164a7212c057a9c4ccf81a9d"/>
    <w:p>
      <w:pPr>
        <w:pStyle w:val="Heading1"/>
      </w:pPr>
      <w:r>
        <w:t xml:space="preserve">Target-Profile Skill — End-to-End Wiring Walkthrough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team review ·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Ryan Abo ·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2026-07-14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ODDU + oncology comp-bio colleagues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rPr>
          <w:rStyle w:val="VerbatimChar"/>
        </w:rPr>
        <w:t xml:space="preserve">docs/SHOWCASE_DESIGN.md</w:t>
      </w:r>
      <w:r>
        <w:t xml:space="preserve"> </w:t>
      </w:r>
      <w:r>
        <w:t xml:space="preserve">(its five design decisions are folded into §8 below)</w:t>
      </w:r>
    </w:p>
    <w:p>
      <w:pPr>
        <w:pStyle w:val="BlockText"/>
      </w:pPr>
      <w:r>
        <w:rPr>
          <w:b/>
          <w:bCs/>
        </w:rPr>
        <w:t xml:space="preserve">How to comment:</w:t>
      </w:r>
      <w:r>
        <w:t xml:space="preserve"> </w:t>
      </w:r>
      <w:r>
        <w:t xml:space="preserve">add your name + date inline under any 🗳️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marker. Nothing in §8</w:t>
      </w:r>
      <w:r>
        <w:t xml:space="preserve"> </w:t>
      </w:r>
      <w:r>
        <w:t xml:space="preserve">is final until we converge as a team.</w:t>
      </w:r>
    </w:p>
    <w:p>
      <w:r>
        <w:pict>
          <v:rect style="width:0;height:1.5pt" o:hralign="center" o:hrstd="t" o:hr="t"/>
        </w:pict>
      </w:r>
    </w:p>
    <w:bookmarkStart w:id="9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We want to put the</w:t>
      </w:r>
      <w:r>
        <w:t xml:space="preserve"> </w:t>
      </w:r>
      <w:r>
        <w:rPr>
          <w:rStyle w:val="VerbatimChar"/>
          <w:b/>
          <w:bCs/>
        </w:rPr>
        <w:t xml:space="preserve">target-profile</w:t>
      </w:r>
      <w:r>
        <w:rPr>
          <w:b/>
          <w:bCs/>
        </w:rPr>
        <w:t xml:space="preserve"> </w:t>
      </w:r>
      <w:r>
        <w:rPr>
          <w:b/>
          <w:bCs/>
        </w:rPr>
        <w:t xml:space="preserve">composed skill</w:t>
      </w:r>
      <w:r>
        <w:t xml:space="preserve"> </w:t>
      </w:r>
      <w:r>
        <w:t xml:space="preserve">in front of ODDU and hardening its design</w:t>
      </w:r>
      <w:r>
        <w:t xml:space="preserve"> </w:t>
      </w:r>
      <w:r>
        <w:t xml:space="preserve">choices with comp-bio feedback. To review it credibly, this doc surfaces the</w:t>
      </w:r>
      <w:r>
        <w:t xml:space="preserve"> </w:t>
      </w:r>
      <w:r>
        <w:rPr>
          <w:b/>
          <w:bCs/>
        </w:rPr>
        <w:t xml:space="preserve">full wiring</w:t>
      </w:r>
      <w:r>
        <w:t xml:space="preserve"> </w:t>
      </w:r>
      <w:r>
        <w:t xml:space="preserve">— from</w:t>
      </w:r>
      <w:r>
        <w:t xml:space="preserve"> </w:t>
      </w:r>
      <w:r>
        <w:t xml:space="preserve">raw dataset to final recommendation — with real file paths and a real worked example (KRAS ×</w:t>
      </w:r>
      <w:r>
        <w:t xml:space="preserve"> </w:t>
      </w:r>
      <w:r>
        <w:t xml:space="preserve">COADREAD). The goal is that a reviewer can trace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claim in the output back to the dataset row,</w:t>
      </w:r>
      <w:r>
        <w:t xml:space="preserve"> </w:t>
      </w:r>
      <w:r>
        <w:t xml:space="preserve">the code that summarized it, and the rule that interpreted it.</w:t>
      </w:r>
    </w:p>
    <w:p>
      <w:pPr>
        <w:pStyle w:val="BodyText"/>
      </w:pPr>
      <w:r>
        <w:t xml:space="preserve">The single most important thing to take away:</w:t>
      </w:r>
    </w:p>
    <w:p>
      <w:pPr>
        <w:pStyle w:val="BlockText"/>
      </w:pPr>
      <w:r>
        <w:rPr>
          <w:b/>
          <w:bCs/>
        </w:rPr>
        <w:t xml:space="preserve">The verdicts are deterministic and reproducible (verified byte-identical across runs); the prose</w:t>
      </w:r>
      <w:r>
        <w:rPr>
          <w:b/>
          <w:bCs/>
        </w:rPr>
        <w:t xml:space="preserve"> </w:t>
      </w:r>
      <w:r>
        <w:rPr>
          <w:b/>
          <w:bCs/>
        </w:rPr>
        <w:t xml:space="preserve">is LLM-written, labeled, and traceable.</w:t>
      </w:r>
      <w:r>
        <w:t xml:space="preserve"> </w:t>
      </w:r>
      <w:r>
        <w:t xml:space="preserve">Sub-verdicts, fired-rule IDs, and the risk-by-category</w:t>
      </w:r>
      <w:r>
        <w:t xml:space="preserve"> </w:t>
      </w:r>
      <w:r>
        <w:t xml:space="preserve">table are pure rule-fired logic. Only the narrative + the enum-constrained recommendation come from</w:t>
      </w:r>
      <w:r>
        <w:t xml:space="preserve"> </w:t>
      </w:r>
      <w:r>
        <w:t xml:space="preserve">the LLM, and every LLM-written field is stamped with its model ID and a hash of the exact prompt</w:t>
      </w:r>
      <w:r>
        <w:t xml:space="preserve"> </w:t>
      </w:r>
      <w:r>
        <w:t xml:space="preserve">that produced it. (One caveat on the hash's stability is tracked in §9 Known issues; it does not</w:t>
      </w:r>
      <w:r>
        <w:t xml:space="preserve"> </w:t>
      </w:r>
      <w:r>
        <w:t xml:space="preserve">affect the scientific spine's reproducibility.)</w:t>
      </w:r>
    </w:p>
    <w:p>
      <w:r>
        <w:pict>
          <v:rect style="width:0;height:1.5pt" o:hralign="center" o:hrstd="t" o:hr="t"/>
        </w:pict>
      </w:r>
    </w:p>
    <w:bookmarkEnd w:id="9"/>
    <w:bookmarkStart w:id="10" w:name="X2fc3ed06fd11f8b154b14809cd2ec7fc2ef46a8"/>
    <w:p>
      <w:pPr>
        <w:pStyle w:val="Heading2"/>
      </w:pPr>
      <w:r>
        <w:t xml:space="preserve">2. The composed skill at a glance</w:t>
      </w:r>
    </w:p>
    <w:p>
      <w:pPr>
        <w:pStyle w:val="FirstParagraph"/>
      </w:pPr>
      <w:r>
        <w:rPr>
          <w:rStyle w:val="VerbatimChar"/>
        </w:rPr>
        <w:t xml:space="preserve">target-profile</w:t>
      </w:r>
      <w:r>
        <w:t xml:space="preserve"> </w:t>
      </w:r>
      <w:r>
        <w:t xml:space="preserve">answers:</w:t>
      </w:r>
      <w:r>
        <w:t xml:space="preserve"> </w:t>
      </w:r>
      <w:r>
        <w:rPr>
          <w:i/>
          <w:iCs/>
        </w:rPr>
        <w:t xml:space="preserve">"Give me the full biology + tractability + mutation + prevalence picture</w:t>
      </w:r>
      <w:r>
        <w:rPr>
          <w:i/>
          <w:iCs/>
        </w:rPr>
        <w:t xml:space="preserve"> </w:t>
      </w:r>
      <w:r>
        <w:rPr>
          <w:i/>
          <w:iCs/>
        </w:rPr>
        <w:t xml:space="preserve">of target X in indication Y, with a narrative synthesis and a nomination recommendation."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fans out in-process to 10 sub-skills</w:t>
      </w:r>
      <w:r>
        <w:t xml:space="preserve">, collects each one's deterministic sub-verdict, then</w:t>
      </w:r>
      <w:r>
        <w:t xml:space="preserve"> </w:t>
      </w:r>
      <w:r>
        <w:t xml:space="preserve">runs a single</w:t>
      </w:r>
      <w:r>
        <w:t xml:space="preserve"> </w:t>
      </w:r>
      <w:r>
        <w:rPr>
          <w:b/>
          <w:bCs/>
        </w:rPr>
        <w:t xml:space="preserve">Tier-3 structured-LLM synthesis</w:t>
      </w:r>
      <w:r>
        <w:t xml:space="preserve"> </w:t>
      </w:r>
      <w:r>
        <w:t xml:space="preserve">over those verdicts.</w:t>
      </w:r>
    </w:p>
    <w:p>
      <w:pPr>
        <w:pStyle w:val="SourceCode"/>
      </w:pPr>
      <w:r>
        <w:rPr>
          <w:rStyle w:val="VerbatimChar"/>
        </w:rPr>
        <w:t xml:space="preserve">                         target-profile/scripts/run.py</w:t>
      </w:r>
      <w:r>
        <w:br/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┌────────────────────────────┼────────────────────────────┐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1. FAN OUT (in-process via importlib, sequential)        │</w:t>
      </w:r>
      <w:r>
        <w:br/>
      </w:r>
      <w:r>
        <w:rPr>
          <w:rStyle w:val="VerbatimChar"/>
        </w:rPr>
        <w:t xml:space="preserve">        │                                                           │</w:t>
      </w:r>
      <w:r>
        <w:br/>
      </w:r>
      <w:r>
        <w:rPr>
          <w:rStyle w:val="VerbatimChar"/>
        </w:rPr>
        <w:t xml:space="preserve">        │   tumor-presence          → expression   verdict         │</w:t>
      </w:r>
      <w:r>
        <w:br/>
      </w:r>
      <w:r>
        <w:rPr>
          <w:rStyle w:val="VerbatimChar"/>
        </w:rPr>
        <w:t xml:space="preserve">        │   tumor-selectivity       → selectivity  verdict         │</w:t>
      </w:r>
      <w:r>
        <w:br/>
      </w:r>
      <w:r>
        <w:rPr>
          <w:rStyle w:val="VerbatimChar"/>
        </w:rPr>
        <w:t xml:space="preserve">        │   functional-requirement  → dependency   verdict         │</w:t>
      </w:r>
      <w:r>
        <w:br/>
      </w:r>
      <w:r>
        <w:rPr>
          <w:rStyle w:val="VerbatimChar"/>
        </w:rPr>
        <w:t xml:space="preserve">        │   mechanism-and-pharmacology → mechanism  verdict         │</w:t>
      </w:r>
      <w:r>
        <w:br/>
      </w:r>
      <w:r>
        <w:rPr>
          <w:rStyle w:val="VerbatimChar"/>
        </w:rPr>
        <w:t xml:space="preserve">        │   mutation-profile        → mutation      verdict         │</w:t>
      </w:r>
      <w:r>
        <w:br/>
      </w:r>
      <w:r>
        <w:rPr>
          <w:rStyle w:val="VerbatimChar"/>
        </w:rPr>
        <w:t xml:space="preserve">        │   differentiation-landscape → differentiation verdict     │</w:t>
      </w:r>
      <w:r>
        <w:br/>
      </w:r>
      <w:r>
        <w:rPr>
          <w:rStyle w:val="VerbatimChar"/>
        </w:rPr>
        <w:t xml:space="preserve">        │   tractability-and-modality → tractability verdict        │</w:t>
      </w:r>
      <w:r>
        <w:br/>
      </w:r>
      <w:r>
        <w:rPr>
          <w:rStyle w:val="VerbatimChar"/>
        </w:rPr>
        <w:t xml:space="preserve">        │   on-target-safety-liability → safety     verdict         │</w:t>
      </w:r>
      <w:r>
        <w:br/>
      </w:r>
      <w:r>
        <w:rPr>
          <w:rStyle w:val="VerbatimChar"/>
        </w:rPr>
        <w:t xml:space="preserve">        │   patient-population-and-access → population (no verdict)  │</w:t>
      </w:r>
      <w:r>
        <w:br/>
      </w:r>
      <w:r>
        <w:rPr>
          <w:rStyle w:val="VerbatimChar"/>
        </w:rPr>
        <w:t xml:space="preserve">        │   surfaceome-cohort-ranking → cohort_rank (no verdict)     │</w:t>
      </w:r>
      <w:r>
        <w:br/>
      </w:r>
      <w:r>
        <w:rPr>
          <w:rStyle w:val="VerbatimChar"/>
        </w:rPr>
        <w:t xml:space="preserve">        │                                                           │</w:t>
      </w:r>
      <w:r>
        <w:br/>
      </w:r>
      <w:r>
        <w:rPr>
          <w:rStyle w:val="VerbatimChar"/>
        </w:rPr>
        <w:t xml:space="preserve">        │   each sub-skill: resolve_cards() → fired_rules()         │</w:t>
      </w:r>
      <w:r>
        <w:br/>
      </w:r>
      <w:r>
        <w:rPr>
          <w:rStyle w:val="VerbatimChar"/>
        </w:rPr>
        <w:t xml:space="preserve">        │                   → _verdict(fired) = (verdict, rule_id)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└────────────────────────────┬────────────────────────────┘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│  DETERMINISTIC spine (byte-reproducible)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2. TIER-3 SYNTHESIS  (_skills_common/llm.py)              │</w:t>
      </w:r>
      <w:r>
        <w:br/>
      </w:r>
      <w:r>
        <w:rPr>
          <w:rStyle w:val="VerbatimChar"/>
        </w:rPr>
        <w:t xml:space="preserve">        │  Bedrock, tool_choice-forced, 6-field schema              │</w:t>
      </w:r>
      <w:r>
        <w:br/>
      </w:r>
      <w:r>
        <w:rPr>
          <w:rStyle w:val="VerbatimChar"/>
        </w:rPr>
        <w:t xml:space="preserve">        │  executive_summary · tension_analysis · args_for/against  │</w:t>
      </w:r>
      <w:r>
        <w:br/>
      </w:r>
      <w:r>
        <w:rPr>
          <w:rStyle w:val="VerbatimChar"/>
        </w:rPr>
        <w:t xml:space="preserve">        │  overall_recommendation ∈ {nominate,hold,veto,insuff.}    │</w:t>
      </w:r>
      <w:r>
        <w:br/>
      </w:r>
      <w:r>
        <w:rPr>
          <w:rStyle w:val="VerbatimChar"/>
        </w:rPr>
        <w:t xml:space="preserve">        │  confidence ∈ {high,medium,low,insufficient}              │</w:t>
      </w:r>
      <w:r>
        <w:br/>
      </w:r>
      <w:r>
        <w:rPr>
          <w:rStyle w:val="VerbatimChar"/>
        </w:rPr>
        <w:t xml:space="preserve">        │  every field stamped _source / _model_id / _prompt_hash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3. OUTPUT (durable dir)                                   │</w:t>
      </w:r>
      <w:r>
        <w:br/>
      </w:r>
      <w:r>
        <w:rPr>
          <w:rStyle w:val="VerbatimChar"/>
        </w:rPr>
        <w:t xml:space="preserve">        │   target_profile.md   — narrative, LLM sections tagged     │</w:t>
      </w:r>
      <w:r>
        <w:br/>
      </w:r>
      <w:r>
        <w:rPr>
          <w:rStyle w:val="VerbatimChar"/>
        </w:rPr>
        <w:t xml:space="preserve">        │   nomination.json     — sub_verdicts slot ⟂ llm_synthesis  │</w:t>
      </w:r>
      <w:r>
        <w:br/>
      </w:r>
      <w:r>
        <w:rPr>
          <w:rStyle w:val="VerbatimChar"/>
        </w:rPr>
        <w:t xml:space="preserve">        │   provenance.yaml     — prompt_hash + model_id + artefacts  │</w:t>
      </w:r>
      <w:r>
        <w:br/>
      </w:r>
      <w:r>
        <w:rPr>
          <w:rStyle w:val="VerbatimChar"/>
        </w:rPr>
        <w:t xml:space="preserve">        │   figures/target_profile_at_a_glance.{png,svg}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Relationship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compose-dashboard</w:t>
      </w:r>
      <w:r>
        <w:rPr>
          <w:b/>
          <w:bCs/>
        </w:rPr>
        <w:t xml:space="preserve"> </w:t>
      </w:r>
      <w:r>
        <w:rPr>
          <w:b/>
          <w:bCs/>
        </w:rPr>
        <w:t xml:space="preserve">(the sibling path).</w:t>
      </w:r>
      <w:r>
        <w:t xml:space="preserve"> </w:t>
      </w:r>
      <w:r>
        <w:rPr>
          <w:rStyle w:val="VerbatimChar"/>
        </w:rPr>
        <w:t xml:space="preserve">target-profile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projection</w:t>
      </w:r>
      <w:r>
        <w:t xml:space="preserve"> </w:t>
      </w:r>
      <w:r>
        <w:t xml:space="preserve">over</w:t>
      </w:r>
      <w:r>
        <w:t xml:space="preserve"> </w:t>
      </w:r>
      <w:r>
        <w:t xml:space="preserve">the same evidence registry that the</w:t>
      </w:r>
      <w:r>
        <w:t xml:space="preserve"> </w:t>
      </w:r>
      <w:r>
        <w:rPr>
          <w:rStyle w:val="VerbatimChar"/>
        </w:rPr>
        <w:t xml:space="preserve">compose-dashboard</w:t>
      </w:r>
      <w:r>
        <w:t xml:space="preserve"> </w:t>
      </w:r>
      <w:r>
        <w:t xml:space="preserve">skill uses. Both read cards through the</w:t>
      </w:r>
      <w:r>
        <w:t xml:space="preserve"> </w:t>
      </w:r>
      <w:r>
        <w:rPr>
          <w:b/>
          <w:bCs/>
        </w:rPr>
        <w:t xml:space="preserve">same dispatcher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skills/compose-dashboard/scripts/_live_readers.py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CARD_READERS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card_id → method-reader</w:t>
      </w:r>
      <w:r>
        <w:t xml:space="preserve"> </w:t>
      </w:r>
      <w:r>
        <w:t xml:space="preserve">table). They differ only in their</w:t>
      </w:r>
      <w:r>
        <w:t xml:space="preserve"> </w:t>
      </w:r>
      <w:r>
        <w:rPr>
          <w:i/>
          <w:iCs/>
        </w:rPr>
        <w:t xml:space="preserve">output shape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target-profile</w:t>
            </w:r>
            <w:r>
              <w:t xml:space="preserve"> </w:t>
            </w:r>
            <w:r>
              <w:t xml:space="preserve">(this doc)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compose-dashboard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nomination.json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target_profile.md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evidence_package.json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dashboard.md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Framing</w:t>
            </w:r>
          </w:p>
        </w:tc>
        <w:tc>
          <w:tcPr/>
          <w:p>
            <w:pPr>
              <w:pStyle w:val="Compact"/>
            </w:pPr>
            <w:r>
              <w:t xml:space="preserve">biologist "should we nominate?"</w:t>
            </w:r>
          </w:p>
        </w:tc>
        <w:tc>
          <w:tcPr/>
          <w:p>
            <w:pPr>
              <w:pStyle w:val="Compact"/>
            </w:pPr>
            <w:r>
              <w:t xml:space="preserve">full 18-card evidence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Synthesis</w:t>
            </w:r>
          </w:p>
        </w:tc>
        <w:tc>
          <w:tcPr/>
          <w:p>
            <w:pPr>
              <w:pStyle w:val="Compact"/>
            </w:pPr>
            <w:r>
              <w:t xml:space="preserve">6-field nomination schema</w:t>
            </w:r>
          </w:p>
        </w:tc>
        <w:tc>
          <w:tcPr/>
          <w:p>
            <w:pPr>
              <w:pStyle w:val="Compact"/>
            </w:pPr>
            <w:r>
              <w:t xml:space="preserve">per-section headline + modality-fit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Committed demos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first run staged in §6</w:t>
            </w:r>
          </w:p>
        </w:tc>
        <w:tc>
          <w:tcPr/>
          <w:p>
            <w:pPr>
              <w:pStyle w:val="Compact"/>
            </w:pPr>
            <w:r>
              <w:t xml:space="preserve">KRAS/COADREAD, EGFR/LUAD, BRAF/SKCM</w:t>
            </w:r>
          </w:p>
        </w:tc>
      </w:tr>
    </w:tbl>
    <w:p>
      <w:pPr>
        <w:pStyle w:val="BodyText"/>
      </w:pPr>
      <w:r>
        <w:t xml:space="preserve">Feature note: the fan-out loop is</w:t>
      </w:r>
      <w:r>
        <w:t xml:space="preserve"> </w:t>
      </w:r>
      <w:r>
        <w:rPr>
          <w:b/>
          <w:bCs/>
        </w:rPr>
        <w:t xml:space="preserve">sequential in-process</w:t>
      </w:r>
      <w:r>
        <w:t xml:space="preserve"> </w:t>
      </w:r>
      <w:r>
        <w:t xml:space="preserve">(not threaded), despite historical</w:t>
      </w:r>
      <w:r>
        <w:t xml:space="preserve"> </w:t>
      </w:r>
      <w:r>
        <w:t xml:space="preserve">"parallel" language in older docstrings.</w:t>
      </w:r>
    </w:p>
    <w:p>
      <w:r>
        <w:pict>
          <v:rect style="width:0;height:1.5pt" o:hralign="center" o:hrstd="t" o:hr="t"/>
        </w:pict>
      </w:r>
    </w:p>
    <w:bookmarkEnd w:id="10"/>
    <w:bookmarkStart w:id="11" w:name="X98e6a29e39f511fd5d668961a59ce0abed7e19c"/>
    <w:p>
      <w:pPr>
        <w:pStyle w:val="Heading2"/>
      </w:pPr>
      <w:r>
        <w:t xml:space="preserve">3. The five-layer repo stack</w:t>
      </w:r>
    </w:p>
    <w:p>
      <w:pPr>
        <w:pStyle w:val="FirstParagraph"/>
      </w:pPr>
      <w:r>
        <w:t xml:space="preserve">All repos live under</w:t>
      </w:r>
      <w:r>
        <w:t xml:space="preserve"> </w:t>
      </w:r>
      <w:r>
        <w:rPr>
          <w:rStyle w:val="VerbatimChar"/>
        </w:rPr>
        <w:t xml:space="preserve">/home/sagemaker-user/</w:t>
      </w:r>
      <w:r>
        <w:t xml:space="preserve">, org</w:t>
      </w:r>
      <w:r>
        <w:t xml:space="preserve"> </w:t>
      </w:r>
      <w:r>
        <w:rPr>
          <w:rStyle w:val="VerbatimChar"/>
        </w:rPr>
        <w:t xml:space="preserve">oneTakeda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rnd-computational-biology-oncology-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Role in the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-data-catalog</w:t>
            </w:r>
          </w:p>
        </w:tc>
        <w:tc>
          <w:tcPr/>
          <w:p>
            <w:pPr>
              <w:pStyle w:val="Compact"/>
            </w:pPr>
            <w:r>
              <w:t xml:space="preserve">source + derived</w:t>
            </w:r>
            <w:r>
              <w:t xml:space="preserve"> </w:t>
            </w:r>
            <w:r>
              <w:rPr>
                <w:b/>
                <w:bCs/>
              </w:rPr>
              <w:t xml:space="preserve">manifests</w:t>
            </w:r>
            <w:r>
              <w:t xml:space="preserve"> </w:t>
            </w:r>
            <w:r>
              <w:t xml:space="preserve">— the dataset origin (S3 + md5 + schema)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-analysis-methods</w:t>
            </w:r>
          </w:p>
        </w:tc>
        <w:tc>
          <w:tcPr/>
          <w:p>
            <w:pPr>
              <w:pStyle w:val="Compact"/>
            </w:pPr>
            <w:r>
              <w:t xml:space="preserve">deterministic method CLIs/readers that turn a manifest into a summary + plots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-target-contracts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+ 110</w:t>
            </w:r>
            <w:r>
              <w:t xml:space="preserve"> </w:t>
            </w:r>
            <w:r>
              <w:rPr>
                <w:b/>
                <w:bCs/>
              </w:rPr>
              <w:t xml:space="preserve">rules</w:t>
            </w:r>
            <w:r>
              <w:t xml:space="preserve"> </w:t>
            </w:r>
            <w:r>
              <w:t xml:space="preserve">+ dashboards + schemas + vocabularies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-claude-oncology-skills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skills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target-profile</w:t>
            </w:r>
            <w:r>
              <w:t xml:space="preserve">, its 10 sub-skills,</w:t>
            </w:r>
            <w:r>
              <w:t xml:space="preserve"> </w:t>
            </w:r>
            <w:r>
              <w:rPr>
                <w:rStyle w:val="VerbatimChar"/>
              </w:rPr>
              <w:t xml:space="preserve">compose-dashboard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render-evidence-package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-data-products</w:t>
            </w:r>
          </w:p>
        </w:tc>
        <w:tc>
          <w:tcPr/>
          <w:p>
            <w:pPr>
              <w:pStyle w:val="Compact"/>
            </w:pPr>
            <w:r>
              <w:t xml:space="preserve">committed evidence packages per (target × indication)</w:t>
            </w:r>
          </w:p>
        </w:tc>
      </w:tr>
    </w:tbl>
    <w:p>
      <w:pPr>
        <w:pStyle w:val="BodyText"/>
      </w:pPr>
      <w:r>
        <w:t xml:space="preserve">The chain is:</w:t>
      </w:r>
      <w:r>
        <w:t xml:space="preserve"> </w:t>
      </w:r>
      <w:r>
        <w:rPr>
          <w:b/>
          <w:bCs/>
        </w:rPr>
        <w:t xml:space="preserve">data-catalog manifest → analysis-methods reader → card_spec → interpretation rule → sub-verdict →</w:t>
      </w:r>
      <w:r>
        <w:rPr>
          <w:b/>
          <w:bCs/>
        </w:rPr>
        <w:t xml:space="preserve"> </w:t>
      </w:r>
      <w:r>
        <w:rPr>
          <w:b/>
          <w:bCs/>
        </w:rPr>
        <w:t xml:space="preserve">Tier-3 synthesis → nomination.json / target_profile.md</w:t>
      </w:r>
    </w:p>
    <w:p>
      <w:r>
        <w:pict>
          <v:rect style="width:0;height:1.5pt" o:hralign="center" o:hrstd="t" o:hr="t"/>
        </w:pict>
      </w:r>
    </w:p>
    <w:bookmarkEnd w:id="11"/>
    <w:bookmarkStart w:id="19" w:name="Xcb3d11881a5fda73f6d18465c49da68b4d4a378"/>
    <w:p>
      <w:pPr>
        <w:pStyle w:val="Heading2"/>
      </w:pPr>
      <w:r>
        <w:t xml:space="preserve">4. The full wiring, walked on one card (KRAS × COADREAD)</w:t>
      </w:r>
    </w:p>
    <w:p>
      <w:pPr>
        <w:pStyle w:val="FirstParagraph"/>
      </w:pPr>
      <w:r>
        <w:t xml:space="preserve">We trace a single evidence card,</w:t>
      </w:r>
      <w:r>
        <w:t xml:space="preserve"> </w:t>
      </w:r>
      <w:r>
        <w:rPr>
          <w:rStyle w:val="VerbatimChar"/>
        </w:rPr>
        <w:t xml:space="preserve">expression-distribution</w:t>
      </w:r>
      <w:r>
        <w:t xml:space="preserve">, all the way through. Every other card</w:t>
      </w:r>
      <w:r>
        <w:t xml:space="preserve"> </w:t>
      </w:r>
      <w:r>
        <w:t xml:space="preserve">follows the identical pattern; this is the representative slice.</w:t>
      </w:r>
    </w:p>
    <w:bookmarkStart w:id="12" w:name="X8a3b5a5dbb2e54d5560d73b8dd2680dba2a37bc"/>
    <w:p>
      <w:pPr>
        <w:pStyle w:val="Heading3"/>
      </w:pPr>
      <w:r>
        <w:t xml:space="preserve">4.1 Dataset — where the numbers come from</w:t>
      </w:r>
    </w:p>
    <w:p>
      <w:pPr>
        <w:pStyle w:val="FirstParagraph"/>
      </w:pPr>
      <w:r>
        <w:t xml:space="preserve">The card declares its dataset dependency by</w:t>
      </w:r>
      <w:r>
        <w:t xml:space="preserve"> </w:t>
      </w:r>
      <w:r>
        <w:rPr>
          <w:b/>
          <w:bCs/>
        </w:rPr>
        <w:t xml:space="preserve">manifest ID</w:t>
      </w:r>
      <w:r>
        <w:t xml:space="preserve">, not by file path:</w:t>
      </w:r>
    </w:p>
    <w:p>
      <w:pPr>
        <w:pStyle w:val="SourceCode"/>
      </w:pPr>
      <w:r>
        <w:rPr>
          <w:rStyle w:val="CommentTok"/>
        </w:rPr>
        <w:t xml:space="preserve"># target-contracts/cards/expression-distribution.card.yaml</w:t>
      </w:r>
      <w:r>
        <w:br/>
      </w:r>
      <w:r>
        <w:rPr>
          <w:rStyle w:val="FunctionTok"/>
        </w:rPr>
        <w:t xml:space="preserve">required_inputs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product_id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depmap-consortium-26q1</w:t>
      </w:r>
      <w:r>
        <w:rPr>
          <w:rStyle w:val="CommentTok"/>
        </w:rPr>
        <w:t xml:space="preserve">        # ← a data-catalog manifest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release_pin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"{release_pin}"</w:t>
      </w:r>
    </w:p>
    <w:p>
      <w:pPr>
        <w:pStyle w:val="FirstParagraph"/>
      </w:pPr>
      <w:r>
        <w:rPr>
          <w:rStyle w:val="VerbatimChar"/>
        </w:rPr>
        <w:t xml:space="preserve">depmap-consortium-26q1</w:t>
      </w:r>
      <w:r>
        <w:t xml:space="preserve"> </w:t>
      </w:r>
      <w:r>
        <w:t xml:space="preserve">resolves (in</w:t>
      </w:r>
      <w:r>
        <w:t xml:space="preserve"> </w:t>
      </w:r>
      <w:r>
        <w:rPr>
          <w:rStyle w:val="VerbatimChar"/>
        </w:rPr>
        <w:t xml:space="preserve">data-catalog/manifests/sources/</w:t>
      </w:r>
      <w:r>
        <w:t xml:space="preserve">) to the DepMap 26Q1 release</w:t>
      </w:r>
      <w:r>
        <w:t xml:space="preserve"> </w:t>
      </w:r>
      <w:r>
        <w:t xml:space="preserve">on S3, e.g.</w:t>
      </w:r>
      <w:r>
        <w:t xml:space="preserve"> </w:t>
      </w:r>
      <w:r>
        <w:rPr>
          <w:rStyle w:val="VerbatimChar"/>
        </w:rPr>
        <w:t xml:space="preserve">s3://onc-compbio/data-catalog/sources/depmap-consortium/dmc-26q1/ OmicsExpressionTPMLogp1HumanProteinCodingGenes.csv</w:t>
      </w:r>
      <w:r>
        <w:t xml:space="preserve"> </w:t>
      </w:r>
      <w:r>
        <w:t xml:space="preserve">— pinned with md5 + schema.</w:t>
      </w:r>
      <w:r>
        <w:t xml:space="preserve"> </w:t>
      </w:r>
      <w:r>
        <w:rPr>
          <w:b/>
          <w:bCs/>
        </w:rPr>
        <w:t xml:space="preserve">Nothing in the</w:t>
      </w:r>
      <w:r>
        <w:rPr>
          <w:b/>
          <w:bCs/>
        </w:rPr>
        <w:t xml:space="preserve"> </w:t>
      </w:r>
      <w:r>
        <w:rPr>
          <w:b/>
          <w:bCs/>
        </w:rPr>
        <w:t xml:space="preserve">framework reads a bare S3 path; every read is manifest-mediated</w:t>
      </w:r>
      <w:r>
        <w:t xml:space="preserve">, so provenance and release-pinning</w:t>
      </w:r>
      <w:r>
        <w:t xml:space="preserve"> </w:t>
      </w:r>
      <w:r>
        <w:t xml:space="preserve">are automatic.</w:t>
      </w:r>
    </w:p>
    <w:bookmarkEnd w:id="12"/>
    <w:bookmarkStart w:id="13" w:name="X92998b966c11f1ed323f7bfd7e8960847cf6bca"/>
    <w:p>
      <w:pPr>
        <w:pStyle w:val="Heading3"/>
      </w:pPr>
      <w:r>
        <w:t xml:space="preserve">4.2 Card — the pure-data contract</w:t>
      </w:r>
    </w:p>
    <w:p>
      <w:pPr>
        <w:pStyle w:val="FirstParagraph"/>
      </w:pPr>
      <w:r>
        <w:rPr>
          <w:rStyle w:val="VerbatimChar"/>
        </w:rPr>
        <w:t xml:space="preserve">cards/expression-distribution.card.yaml</w:t>
      </w:r>
      <w:r>
        <w:t xml:space="preserve"> </w:t>
      </w:r>
      <w:r>
        <w:t xml:space="preserve">(Card E3a) is a</w:t>
      </w:r>
      <w:r>
        <w:t xml:space="preserve"> </w:t>
      </w:r>
      <w:r>
        <w:rPr>
          <w:b/>
          <w:bCs/>
        </w:rPr>
        <w:t xml:space="preserve">pure-data contract</w:t>
      </w:r>
      <w:r>
        <w:t xml:space="preserve">: it says</w:t>
      </w:r>
      <w:r>
        <w:t xml:space="preserve"> </w:t>
      </w:r>
      <w:r>
        <w:rPr>
          <w:i/>
          <w:iCs/>
        </w:rPr>
        <w:t xml:space="preserve">what to</w:t>
      </w:r>
      <w:r>
        <w:rPr>
          <w:i/>
          <w:iCs/>
        </w:rPr>
        <w:t xml:space="preserve"> </w:t>
      </w:r>
      <w:r>
        <w:rPr>
          <w:i/>
          <w:iCs/>
        </w:rPr>
        <w:t xml:space="preserve">compute and how to classify it</w:t>
      </w:r>
      <w:r>
        <w:t xml:space="preserve">, but carries no therapeutic judgment. Its load-bearing fields: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applies_when:</w:t>
      </w:r>
      <w:r>
        <w:t xml:space="preserve"> </w:t>
      </w:r>
      <w:r>
        <w:t xml:space="preserve">— a CEL-subset predicate gating whether the card runs at all:</w:t>
      </w:r>
      <w:r>
        <w:t xml:space="preserve"> </w:t>
      </w:r>
      <w:r>
        <w:rPr>
          <w:rStyle w:val="VerbatimChar"/>
        </w:rPr>
        <w:t xml:space="preserve">"context.data_sources.depmap_expression_available == true"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methods:</w:t>
      </w:r>
      <w:r>
        <w:t xml:space="preserve"> </w:t>
      </w:r>
      <w:r>
        <w:t xml:space="preserve">— the method to call, with templated args:</w:t>
      </w:r>
      <w:r>
        <w:t xml:space="preserve"> </w:t>
      </w:r>
      <w:r>
        <w:rPr>
          <w:rStyle w:val="VerbatimChar"/>
        </w:rPr>
        <w:t xml:space="preserve">call: depmap-expression-distribution</w:t>
      </w:r>
      <w:r>
        <w:t xml:space="preserve"> </w:t>
      </w:r>
      <w:r>
        <w:t xml:space="preserve">(args: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expressed_threshold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outputs.summary_fields:</w:t>
      </w:r>
      <w:r>
        <w:t xml:space="preserve"> </w:t>
      </w:r>
      <w:r>
        <w:t xml:space="preserve">— the scalars the method must emit (percentiles,</w:t>
      </w:r>
      <w:r>
        <w:t xml:space="preserve"> </w:t>
      </w:r>
      <w:r>
        <w:rPr>
          <w:rStyle w:val="VerbatimChar"/>
        </w:rPr>
        <w:t xml:space="preserve">fraction_expressed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per_lineage_stats</w:t>
      </w:r>
      <w:r>
        <w:t xml:space="preserve">, …).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outputs.summary_fields_vocabulary: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 categorical that drives 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expression_class ∈ {broadly_high, broadly_moderate, lineage_restricted, broadly_low, data_unavailable}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outputs.figures:</w:t>
      </w:r>
      <w:r>
        <w:t xml:space="preserve"> </w:t>
      </w:r>
      <w:r>
        <w:t xml:space="preserve">— three declared figures (density+KDE, per-lineage strip, ranked waterfall),</w:t>
      </w:r>
      <w:r>
        <w:t xml:space="preserve"> </w:t>
      </w:r>
      <w:r>
        <w:t xml:space="preserve">each with</w:t>
      </w:r>
      <w:r>
        <w:t xml:space="preserve"> </w:t>
      </w:r>
      <w:r>
        <w:rPr>
          <w:rStyle w:val="VerbatimChar"/>
        </w:rPr>
        <w:t xml:space="preserve">preferred_surfaces</w:t>
      </w:r>
      <w:r>
        <w:t xml:space="preserve"> </w:t>
      </w:r>
      <w:r>
        <w:t xml:space="preserve">(markdown / ppt / decision_memo).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thresholds:</w:t>
      </w:r>
      <w:r>
        <w:t xml:space="preserve"> </w:t>
      </w:r>
      <w:r>
        <w:t xml:space="preserve">— named numeric cutoffs (e.g.</w:t>
      </w:r>
      <w:r>
        <w:t xml:space="preserve"> </w:t>
      </w:r>
      <w:r>
        <w:rPr>
          <w:rStyle w:val="VerbatimChar"/>
        </w:rPr>
        <w:t xml:space="preserve">expressed_threshold_log2tpm: 1.0</w:t>
      </w:r>
      <w:r>
        <w:t xml:space="preserve">), referenced from</w:t>
      </w:r>
      <w:r>
        <w:t xml:space="preserve"> </w:t>
      </w:r>
      <w:r>
        <w:t xml:space="preserve">predicates as</w:t>
      </w:r>
      <w:r>
        <w:t xml:space="preserve"> </w:t>
      </w:r>
      <w:r>
        <w:rPr>
          <w:rStyle w:val="VerbatimChar"/>
        </w:rPr>
        <w:t xml:space="preserve">THRESHOLD.&lt;name&gt;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warning_predicates: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n_cell_lines_evaluated &lt; 500 → low_panel_expression_coverage</w:t>
      </w:r>
      <w:r>
        <w:t xml:space="preserve"> </w:t>
      </w:r>
      <w:r>
        <w:t xml:space="preserve">(fires →</w:t>
      </w:r>
      <w:r>
        <w:t xml:space="preserve"> </w:t>
      </w:r>
      <w:r>
        <w:rPr>
          <w:rStyle w:val="VerbatimChar"/>
        </w:rPr>
        <w:t xml:space="preserve">passed_with_warnings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caveats:</w:t>
      </w:r>
      <w:r>
        <w:t xml:space="preserve"> </w:t>
      </w:r>
      <w:r>
        <w:t xml:space="preserve">— governance caveats carried verbatim into the evidence package (e.g. "cell-line</w:t>
      </w:r>
      <w:r>
        <w:t xml:space="preserve"> </w:t>
      </w:r>
      <w:r>
        <w:t xml:space="preserve">expression ≠ tumor expression").</w:t>
      </w:r>
    </w:p>
    <w:p>
      <w:pPr>
        <w:pStyle w:val="BlockText"/>
      </w:pPr>
      <w:r>
        <w:rPr>
          <w:b/>
          <w:bCs/>
        </w:rPr>
        <w:t xml:space="preserve">Design point for reviewers:</w:t>
      </w:r>
      <w:r>
        <w:t xml:space="preserve"> </w:t>
      </w:r>
      <w:r>
        <w:t xml:space="preserve">the card is deliberately</w:t>
      </w:r>
      <w:r>
        <w:t xml:space="preserve"> </w:t>
      </w:r>
      <w:r>
        <w:rPr>
          <w:i/>
          <w:iCs/>
        </w:rPr>
        <w:t xml:space="preserve">descriptive only</w:t>
      </w:r>
      <w:r>
        <w:t xml:space="preserve">. One of its own</w:t>
      </w:r>
      <w:r>
        <w:t xml:space="preserve"> </w:t>
      </w:r>
      <w:r>
        <w:t xml:space="preserve">caveats says it:</w:t>
      </w:r>
      <w:r>
        <w:t xml:space="preserve"> </w:t>
      </w:r>
      <w:r>
        <w:rPr>
          <w:i/>
          <w:iCs/>
        </w:rPr>
        <w:t xml:space="preserve">"Expression class is descriptive — therapeutic interpretation lives in</w:t>
      </w:r>
      <w:r>
        <w:rPr>
          <w:i/>
          <w:iCs/>
        </w:rPr>
        <w:t xml:space="preserve"> </w:t>
      </w:r>
      <w:r>
        <w:rPr>
          <w:i/>
          <w:iCs/>
        </w:rPr>
        <w:t xml:space="preserve">target-contracts/interpretation-rules/."</w:t>
      </w:r>
      <w:r>
        <w:t xml:space="preserve"> </w:t>
      </w:r>
      <w:r>
        <w:t xml:space="preserve">This separation is what makes the interpretation layer</w:t>
      </w:r>
      <w:r>
        <w:t xml:space="preserve"> </w:t>
      </w:r>
      <w:r>
        <w:t xml:space="preserve">auditable independently of the data layer.</w:t>
      </w:r>
    </w:p>
    <w:bookmarkEnd w:id="13"/>
    <w:bookmarkStart w:id="14" w:name="X2cd85cf8bb6e9a243d67ae97ecb0e95f32017fa"/>
    <w:p>
      <w:pPr>
        <w:pStyle w:val="Heading3"/>
      </w:pPr>
      <w:r>
        <w:t xml:space="preserve">4.3 Method — dataset → summary + plots</w:t>
      </w:r>
    </w:p>
    <w:p>
      <w:pPr>
        <w:pStyle w:val="FirstParagraph"/>
      </w:pPr>
      <w:r>
        <w:t xml:space="preserve">The card's</w:t>
      </w:r>
      <w:r>
        <w:t xml:space="preserve"> </w:t>
      </w:r>
      <w:r>
        <w:rPr>
          <w:rStyle w:val="VerbatimChar"/>
        </w:rPr>
        <w:t xml:space="preserve">methods.call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analysis-methods/methods/depmap_expression_distribution/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cli.py:load_expression_files()</w:t>
      </w:r>
      <w:r>
        <w:t xml:space="preserve"> </w:t>
      </w:r>
      <w:r>
        <w:t xml:space="preserve">reads the DepMap parquet/CSV (Tier-2 parquet fast-path →</w:t>
      </w:r>
      <w:r>
        <w:t xml:space="preserve"> </w:t>
      </w:r>
      <w:r>
        <w:t xml:space="preserve">legacy CSV fallback), filtered to default model entries.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compute_summary_stats()</w:t>
      </w:r>
      <w:r>
        <w:t xml:space="preserve"> </w:t>
      </w:r>
      <w:r>
        <w:t xml:space="preserve">computes the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 </w:t>
      </w:r>
      <w:r>
        <w:t xml:space="preserve">scalars and</w:t>
      </w:r>
      <w:r>
        <w:t xml:space="preserve"> </w:t>
      </w:r>
      <w:r>
        <w:rPr>
          <w:rStyle w:val="VerbatimChar"/>
        </w:rPr>
        <w:t xml:space="preserve">_classify_expression()</w:t>
      </w:r>
      <w:r>
        <w:t xml:space="preserve"> </w:t>
      </w:r>
      <w:r>
        <w:t xml:space="preserve">assigns the</w:t>
      </w:r>
      <w:r>
        <w:t xml:space="preserve"> </w:t>
      </w:r>
      <w:r>
        <w:rPr>
          <w:rStyle w:val="VerbatimChar"/>
        </w:rPr>
        <w:t xml:space="preserve">expression_class</w:t>
      </w:r>
      <w:r>
        <w:t xml:space="preserve"> </w:t>
      </w:r>
      <w:r>
        <w:t xml:space="preserve">categorical using the card's thresholds.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emit_density_plot / emit_lineage_strip / emit_waterfall_plot</w:t>
      </w:r>
      <w:r>
        <w:t xml:space="preserve"> </w:t>
      </w:r>
      <w:r>
        <w:t xml:space="preserve">render the three SVGs in the shared</w:t>
      </w:r>
      <w:r>
        <w:t xml:space="preserve"> </w:t>
      </w:r>
      <w:r>
        <w:t xml:space="preserve">Takeda style (</w:t>
      </w:r>
      <w:r>
        <w:rPr>
          <w:rStyle w:val="VerbatimChar"/>
        </w:rPr>
        <w:t xml:space="preserve">target-contracts/plot_styles/takeda_oncology.mplstyle</w:t>
      </w:r>
      <w:r>
        <w:t xml:space="preserve">);</w:t>
      </w:r>
      <w:r>
        <w:t xml:space="preserve"> </w:t>
      </w:r>
      <w:r>
        <w:rPr>
          <w:rStyle w:val="VerbatimChar"/>
        </w:rPr>
        <w:t xml:space="preserve">emit_plot_data()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plot_data_expression.parquet</w:t>
      </w:r>
      <w:r>
        <w:t xml:space="preserve">;</w:t>
      </w:r>
      <w:r>
        <w:t xml:space="preserve"> </w:t>
      </w:r>
      <w:r>
        <w:rPr>
          <w:rStyle w:val="VerbatimChar"/>
        </w:rPr>
        <w:t xml:space="preserve">emit_manifest()</w:t>
      </w:r>
      <w:r>
        <w:t xml:space="preserve"> </w:t>
      </w:r>
      <w:r>
        <w:t xml:space="preserve">records inputs + provenance.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read.py:read_expression_distribution()</w:t>
      </w:r>
      <w:r>
        <w:t xml:space="preserve"> </w:t>
      </w:r>
      <w:r>
        <w:t xml:space="preserve">is the thin library entry the orchestrator calls in live</w:t>
      </w:r>
      <w:r>
        <w:t xml:space="preserve"> </w:t>
      </w:r>
      <w:r>
        <w:t xml:space="preserve">mode; it returns the summary dict matching the card's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This is the only layer that touches raw data.</w:t>
      </w:r>
      <w:r>
        <w:t xml:space="preserve"> </w:t>
      </w:r>
      <w:r>
        <w:t xml:space="preserve">Everything downstream operates on the categorical</w:t>
      </w:r>
    </w:p>
    <w:p>
      <w:pPr>
        <w:pStyle w:val="Compact"/>
        <w:numPr>
          <w:ilvl w:val="0"/>
          <w:numId w:val="1003"/>
        </w:numPr>
      </w:pPr>
      <w:r>
        <w:t xml:space="preserve">scalars, not the parquet.</w:t>
      </w:r>
    </w:p>
    <w:bookmarkEnd w:id="14"/>
    <w:bookmarkStart w:id="15" w:name="X8902ef318bb415fed1c8ef92ccfdb98ba574d7b"/>
    <w:p>
      <w:pPr>
        <w:pStyle w:val="Heading3"/>
      </w:pPr>
      <w:r>
        <w:t xml:space="preserve">4.4 Rule — categorical → per-modality signal</w:t>
      </w:r>
    </w:p>
    <w:p>
      <w:pPr>
        <w:pStyle w:val="FirstParagraph"/>
      </w:pPr>
      <w:r>
        <w:t xml:space="preserve">Interpretation lives in</w:t>
      </w:r>
      <w:r>
        <w:t xml:space="preserve"> </w:t>
      </w:r>
      <w:r>
        <w:rPr>
          <w:rStyle w:val="VerbatimChar"/>
        </w:rPr>
        <w:t xml:space="preserve">target-contracts/interpretation-rules/intracellular-intrinsic.rules.yaml</w:t>
      </w:r>
      <w:r>
        <w:t xml:space="preserve"> </w:t>
      </w:r>
      <w:r>
        <w:t xml:space="preserve">(1,442 lines) — separate from the card. A rule fires when a card emits a specific categorical and</w:t>
      </w:r>
      <w:r>
        <w:t xml:space="preserve"> </w:t>
      </w:r>
      <w:r>
        <w:t xml:space="preserve">maps it to</w:t>
      </w:r>
      <w:r>
        <w:t xml:space="preserve"> </w:t>
      </w:r>
      <w:r>
        <w:rPr>
          <w:b/>
          <w:bCs/>
        </w:rPr>
        <w:t xml:space="preserve">per-modality signals</w:t>
      </w:r>
      <w:r>
        <w:t xml:space="preserve">. The KRAS-defining example (a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card — the mutation</w:t>
      </w:r>
      <w:r>
        <w:t xml:space="preserve"> </w:t>
      </w:r>
      <w:r>
        <w:t xml:space="preserve">one — but the clearest illustration):</w:t>
      </w:r>
    </w:p>
    <w:p>
      <w:pPr>
        <w:pStyle w:val="SourceCode"/>
      </w:pPr>
      <w:r>
        <w:rPr>
          <w:rStyle w:val="CommentTok"/>
        </w:rPr>
        <w:t xml:space="preserve"># interpretation-rules/intracellular-intrinsic.rules.yaml  (line ~315)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mutant-strongly-dependent-supportive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when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card_id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mutation-stratified-dependency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mutation_stratification_class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equals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mutant_strongly_dependent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signals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small_molecule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supportive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degrader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supportive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dominant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rationale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Mutant cells significantly + strongly more dependent than WT (BH-corrected q &lt; α,</w:t>
      </w:r>
      <w:r>
        <w:br/>
      </w:r>
      <w:r>
        <w:rPr>
          <w:rStyle w:val="NormalTok"/>
        </w:rPr>
        <w:t xml:space="preserve">    |delta| &gt;= 0.5). Oncogene-addiction biomarker ... Canonical examples:</w:t>
      </w:r>
      <w:r>
        <w:br/>
      </w:r>
      <w:r>
        <w:rPr>
          <w:rStyle w:val="NormalTok"/>
        </w:rPr>
        <w:t xml:space="preserve">    BRAF-V600E + vemurafenib, KRAS-G12C + sotorasib, EGFR-L858R + erlotinib.</w:t>
      </w:r>
    </w:p>
    <w:p>
      <w:pPr>
        <w:pStyle w:val="FirstParagraph"/>
      </w:pPr>
      <w:r>
        <w:t xml:space="preserve">Signal vocabulary is</w:t>
      </w:r>
      <w:r>
        <w:t xml:space="preserve"> </w:t>
      </w:r>
      <w:r>
        <w:rPr>
          <w:rStyle w:val="VerbatimChar"/>
        </w:rPr>
        <w:t xml:space="preserve">killer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,</w:t>
      </w:r>
      <w:r>
        <w:t xml:space="preserve"> </w:t>
      </w:r>
      <w:r>
        <w:rPr>
          <w:b/>
          <w:bCs/>
        </w:rPr>
        <w:t xml:space="preserve">per modality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dominant: true</w:t>
      </w:r>
      <w:r>
        <w:t xml:space="preserve"> </w:t>
      </w:r>
      <w:r>
        <w:t xml:space="preserve">marks a rule strong enough to anchor a verdict on its own.</w:t>
      </w:r>
    </w:p>
    <w:p>
      <w:pPr>
        <w:pStyle w:val="BlockText"/>
      </w:pPr>
      <w:r>
        <w:rPr>
          <w:b/>
          <w:bCs/>
        </w:rPr>
        <w:t xml:space="preserve">Design point:</w:t>
      </w:r>
      <w:r>
        <w:t xml:space="preserve"> </w:t>
      </w:r>
      <w:r>
        <w:t xml:space="preserve">this is</w:t>
      </w:r>
      <w:r>
        <w:t xml:space="preserve"> </w:t>
      </w:r>
      <w:r>
        <w:rPr>
          <w:i/>
          <w:iCs/>
        </w:rPr>
        <w:t xml:space="preserve">where scientific judgment is encoded</w:t>
      </w:r>
      <w:r>
        <w:t xml:space="preserve"> </w:t>
      </w:r>
      <w:r>
        <w:t xml:space="preserve">— in a version-controlled YAML</w:t>
      </w:r>
      <w:r>
        <w:t xml:space="preserve"> </w:t>
      </w:r>
      <w:r>
        <w:t xml:space="preserve">rule with a human-readable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citing drug precedents. Not in the method (which only</w:t>
      </w:r>
      <w:r>
        <w:t xml:space="preserve"> </w:t>
      </w:r>
      <w:r>
        <w:t xml:space="preserve">computes the categorical), and not in the LLM (which only narrates). This is exactly the surface</w:t>
      </w:r>
      <w:r>
        <w:t xml:space="preserve"> </w:t>
      </w:r>
      <w:r>
        <w:t xml:space="preserve">the "nomination bar" open question (§8, Decision 5) is about.</w:t>
      </w:r>
    </w:p>
    <w:bookmarkEnd w:id="15"/>
    <w:bookmarkStart w:id="16" w:name="X289d52d99d7286f18c0365d04f8fcdb1c4d1bc0"/>
    <w:p>
      <w:pPr>
        <w:pStyle w:val="Heading3"/>
      </w:pPr>
      <w:r>
        <w:t xml:space="preserve">4.5 Sub-verdict — the deterministic spine</w:t>
      </w:r>
    </w:p>
    <w:p>
      <w:pPr>
        <w:pStyle w:val="FirstParagraph"/>
      </w:pPr>
      <w:r>
        <w:t xml:space="preserve">Each sub-skill exposes a</w:t>
      </w:r>
      <w:r>
        <w:t xml:space="preserve"> </w:t>
      </w:r>
      <w:r>
        <w:rPr>
          <w:rStyle w:val="VerbatimChar"/>
        </w:rPr>
        <w:t xml:space="preserve">_verdict(fired) → (verdict_str, driving_rule_id)</w:t>
      </w:r>
      <w:r>
        <w:t xml:space="preserve"> </w:t>
      </w:r>
      <w:r>
        <w:t xml:space="preserve">that does rank-ordered</w:t>
      </w:r>
      <w:r>
        <w:t xml:space="preserve"> </w:t>
      </w:r>
      <w:r>
        <w:t xml:space="preserve">resolution over the fired rules (e.g.</w:t>
      </w:r>
      <w:r>
        <w:t xml:space="preserve"> </w:t>
      </w:r>
      <w:r>
        <w:rPr>
          <w:rStyle w:val="VerbatimChar"/>
        </w:rPr>
        <w:t xml:space="preserve">functional-requirement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pan_essential_killer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concordant_dependent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lineage_selective</w:t>
      </w:r>
      <w:r>
        <w:t xml:space="preserve"> </w:t>
      </w:r>
      <w:r>
        <w:t xml:space="preserve">→ … →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target-profile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_run_sub_skills()</w:t>
      </w:r>
      <w:r>
        <w:t xml:space="preserve"> </w:t>
      </w:r>
      <w:r>
        <w:t xml:space="preserve">calls each in turn (</w:t>
      </w:r>
      <w:r>
        <w:rPr>
          <w:rStyle w:val="VerbatimChar"/>
        </w:rPr>
        <w:t xml:space="preserve">skills/target-profile/scripts/run.py:123</w:t>
      </w:r>
      <w:r>
        <w:t xml:space="preserve">). These verdicts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pure rule logic — no LLM</w:t>
      </w:r>
      <w:r>
        <w:t xml:space="preserve"> </w:t>
      </w:r>
      <w:r>
        <w:t xml:space="preserve">— and are the invariant audit spine.</w:t>
      </w:r>
    </w:p>
    <w:p>
      <w:pPr>
        <w:pStyle w:val="BodyText"/>
      </w:pPr>
      <w:r>
        <w:rPr>
          <w:b/>
          <w:bCs/>
        </w:rPr>
        <w:t xml:space="preserve">Live KRAS × COADREAD sub-verdicts (from the run in §6):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Sub-skill (short)</w:t>
            </w:r>
          </w:p>
        </w:tc>
        <w:tc>
          <w:tcPr/>
          <w:p>
            <w:pPr>
              <w:pStyle w:val="Compact"/>
            </w:pPr>
            <w:r>
              <w:t xml:space="preserve">Sub-verdict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broadly_moderate_expression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verdict fn)</w:t>
            </w:r>
          </w:p>
        </w:tc>
        <w:tc>
          <w:tcPr/>
          <w:p>
            <w:pPr>
              <w:pStyle w:val="Compact"/>
            </w:pPr>
            <w:r>
              <w:t xml:space="preserve">raw metrics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lineage_selective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well_characterized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biomarker_stratified_dependency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insufficient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well_covered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insufficient</w:t>
            </w:r>
          </w:p>
        </w:tc>
        <w:tc>
          <w:tcPr/>
          <w:p>
            <w:pPr>
              <w:pStyle w:val="Compact"/>
            </w:pPr>
            <w:r>
              <w:t xml:space="preserve">rule-fired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verdict fn)</w:t>
            </w:r>
          </w:p>
        </w:tc>
        <w:tc>
          <w:tcPr/>
          <w:p>
            <w:pPr>
              <w:pStyle w:val="Compact"/>
            </w:pPr>
            <w:r>
              <w:t xml:space="preserve">raw metrics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cohort_rank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verdict fn)</w:t>
            </w:r>
          </w:p>
        </w:tc>
        <w:tc>
          <w:tcPr/>
          <w:p>
            <w:pPr>
              <w:pStyle w:val="Compact"/>
            </w:pPr>
            <w:r>
              <w:t xml:space="preserve">raw metrics only</w:t>
            </w:r>
          </w:p>
        </w:tc>
      </w:tr>
    </w:tbl>
    <w:bookmarkEnd w:id="16"/>
    <w:bookmarkStart w:id="17" w:name="X4a498947af08a09b49a389976d164457b4dbdda"/>
    <w:p>
      <w:pPr>
        <w:pStyle w:val="Heading3"/>
      </w:pPr>
      <w:r>
        <w:t xml:space="preserve">4.6 Synthesis — the only LLM step</w:t>
      </w:r>
    </w:p>
    <w:p>
      <w:pPr>
        <w:pStyle w:val="FirstParagraph"/>
      </w:pPr>
      <w:r>
        <w:rPr>
          <w:rStyle w:val="VerbatimChar"/>
        </w:rPr>
        <w:t xml:space="preserve">_build_synthesis_tool()</w:t>
      </w:r>
      <w:r>
        <w:t xml:space="preserve"> </w:t>
      </w:r>
      <w:r>
        <w:t xml:space="preserve">(</w:t>
      </w:r>
      <w:r>
        <w:rPr>
          <w:rStyle w:val="VerbatimChar"/>
        </w:rPr>
        <w:t xml:space="preserve">run.py:173</w:t>
      </w:r>
      <w:r>
        <w:t xml:space="preserve">) defines a</w:t>
      </w:r>
      <w:r>
        <w:t xml:space="preserve"> </w:t>
      </w:r>
      <w:r>
        <w:rPr>
          <w:rStyle w:val="VerbatimChar"/>
        </w:rPr>
        <w:t xml:space="preserve">tool_choice</w:t>
      </w:r>
      <w:r>
        <w:t xml:space="preserve">-forced Bedrock schema. The model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emit exactly this object (it cannot free-form a verdict):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executive_summary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3–5 sentences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tension_analysis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where sub-verdicts disagree +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top_arguments_for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max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top_arguments_against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max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overall_recommendation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nominate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insufficient_evidence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</w:p>
        </w:tc>
      </w:tr>
    </w:tbl>
    <w:p>
      <w:pPr>
        <w:pStyle w:val="BodyText"/>
      </w:pPr>
      <w:r>
        <w:t xml:space="preserve">The two enums are the audit-critical fields. Provenance is stamped in</w:t>
      </w:r>
      <w:r>
        <w:t xml:space="preserve"> </w:t>
      </w:r>
      <w:r>
        <w:rPr>
          <w:rStyle w:val="VerbatimChar"/>
        </w:rPr>
        <w:t xml:space="preserve">_skills_common/llm.py</w:t>
      </w:r>
      <w:r>
        <w:t xml:space="preserve">:</w:t>
      </w:r>
      <w:r>
        <w:t xml:space="preserve"> </w:t>
      </w:r>
      <w:r>
        <w:rPr>
          <w:rStyle w:val="VerbatimChar"/>
        </w:rPr>
        <w:t xml:space="preserve">_prompt_hash()</w:t>
      </w:r>
      <w:r>
        <w:t xml:space="preserve"> </w:t>
      </w:r>
      <w:r>
        <w:t xml:space="preserve">is a SHA-256 over</w:t>
      </w:r>
      <w:r>
        <w:t xml:space="preserve"> </w:t>
      </w:r>
      <w:r>
        <w:rPr>
          <w:rStyle w:val="VerbatimChar"/>
        </w:rPr>
        <w:t xml:space="preserve">(system + user + tool-schema + model-id)</w:t>
      </w:r>
      <w:r>
        <w:t xml:space="preserve">, computed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API call;</w:t>
      </w:r>
      <w:r>
        <w:t xml:space="preserve"> </w:t>
      </w:r>
      <w:r>
        <w:rPr>
          <w:rStyle w:val="VerbatimChar"/>
        </w:rPr>
        <w:t xml:space="preserve">_stamp_llm_provenance()</w:t>
      </w:r>
      <w:r>
        <w:t xml:space="preserve"> </w:t>
      </w:r>
      <w:r>
        <w:t xml:space="preserve">attaches</w:t>
      </w:r>
      <w:r>
        <w:t xml:space="preserve"> </w:t>
      </w:r>
      <w:r>
        <w:rPr>
          <w:rStyle w:val="VerbatimChar"/>
        </w:rPr>
        <w:t xml:space="preserve">_source: llm_synthesized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_model_id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_prompt_hash</w:t>
      </w:r>
      <w:r>
        <w:t xml:space="preserve"> </w:t>
      </w:r>
      <w:r>
        <w:t xml:space="preserve">to every returned field. The hash is a</w:t>
      </w:r>
      <w:r>
        <w:t xml:space="preserve"> </w:t>
      </w:r>
      <w:r>
        <w:rPr>
          <w:b/>
          <w:bCs/>
        </w:rPr>
        <w:t xml:space="preserve">fingerprint of the exact prompt sent</w:t>
      </w:r>
      <w:r>
        <w:t xml:space="preserve">, stamped for audit —</w:t>
      </w:r>
      <w:r>
        <w:t xml:space="preserve"> </w:t>
      </w:r>
      <w:r>
        <w:t xml:space="preserve">so a reviewer can prove which prompt produced a given narrative, and detect prompt drift. The Bedrock</w:t>
      </w:r>
      <w:r>
        <w:t xml:space="preserve"> </w:t>
      </w:r>
      <w:r>
        <w:t xml:space="preserve">call runs under a temporary profile swap to</w:t>
      </w:r>
      <w:r>
        <w:t xml:space="preserve"> </w:t>
      </w:r>
      <w:r>
        <w:rPr>
          <w:rStyle w:val="VerbatimChar"/>
        </w:rPr>
        <w:t xml:space="preserve">BEDROCK_AWS_PROFILE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cmp-dev</w:t>
      </w:r>
      <w:r>
        <w:t xml:space="preserve">) because the</w:t>
      </w:r>
      <w:r>
        <w:t xml:space="preserve"> </w:t>
      </w:r>
      <w:r>
        <w:t xml:space="preserve">data-read profile</w:t>
      </w:r>
      <w:r>
        <w:t xml:space="preserve"> </w:t>
      </w:r>
      <w:r>
        <w:rPr>
          <w:rStyle w:val="VerbatimChar"/>
        </w:rPr>
        <w:t xml:space="preserve">cbg</w:t>
      </w:r>
      <w:r>
        <w:t xml:space="preserve"> </w:t>
      </w:r>
      <w:r>
        <w:t xml:space="preserve">lacks Bedrock marketplace permission.</w:t>
      </w:r>
    </w:p>
    <w:p>
      <w:pPr>
        <w:pStyle w:val="Block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back-to-back KRAS runs produced a</w:t>
      </w:r>
      <w:r>
        <w:t xml:space="preserve"> </w:t>
      </w:r>
      <w:r>
        <w:rPr>
          <w:b/>
          <w:bCs/>
        </w:rPr>
        <w:t xml:space="preserve">byte-identical deterministic spine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sub_verdicts</w:t>
      </w:r>
      <w:r>
        <w:t xml:space="preserve"> </w:t>
      </w:r>
      <w:r>
        <w:t xml:space="preserve">entry +</w:t>
      </w:r>
      <w:r>
        <w:t xml:space="preserve"> </w:t>
      </w:r>
      <w:r>
        <w:rPr>
          <w:rStyle w:val="VerbatimChar"/>
        </w:rPr>
        <w:t xml:space="preserve">driving_rule_id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nominate</w:t>
      </w:r>
      <w:r>
        <w:t xml:space="preserve"> </w:t>
      </w:r>
      <w:r>
        <w:t xml:space="preserve">both times). The</w:t>
      </w:r>
      <w:r>
        <w:t xml:space="preserve"> </w:t>
      </w:r>
      <w:r>
        <w:rPr>
          <w:rStyle w:val="VerbatimChar"/>
        </w:rPr>
        <w:t xml:space="preserve">_prompt_hash</w:t>
      </w:r>
      <w:r>
        <w:t xml:space="preserve"> </w:t>
      </w:r>
      <w:r>
        <w:t xml:space="preserve">stability has one open caveat — see §9 Known issues.</w:t>
      </w:r>
    </w:p>
    <w:bookmarkEnd w:id="17"/>
    <w:bookmarkStart w:id="18" w:name="X94154c035f7b6a83cf1aad2795faf7d218f0f5b"/>
    <w:p>
      <w:pPr>
        <w:pStyle w:val="Heading3"/>
      </w:pPr>
      <w:r>
        <w:t xml:space="preserve">4.7 Output — where the spine and the narrative live separately</w:t>
      </w:r>
    </w:p>
    <w:p>
      <w:pPr>
        <w:pStyle w:val="FirstParagraph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writes to the durable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dir: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nomination.json</w:t>
      </w:r>
      <w:r>
        <w:t xml:space="preserve"> </w:t>
      </w:r>
      <w:r>
        <w:t xml:space="preserve">— the deterministic spine (</w:t>
      </w:r>
      <w:r>
        <w:rPr>
          <w:rStyle w:val="VerbatimChar"/>
        </w:rPr>
        <w:t xml:space="preserve">sub_verdicts</w:t>
      </w:r>
      <w:r>
        <w:t xml:space="preserve">: per-dimension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driving_rule_id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fired_rule_ids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cards_missing</w:t>
      </w:r>
      <w:r>
        <w:t xml:space="preserve">) sits in a slot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llm_synthesis</w:t>
      </w:r>
      <w:r>
        <w:t xml:space="preserve"> </w:t>
      </w:r>
      <w:r>
        <w:t xml:space="preserve">(the full stamped LLM object). This is the structural expression of the</w:t>
      </w:r>
      <w:r>
        <w:t xml:space="preserve"> </w:t>
      </w:r>
      <w:r>
        <w:t xml:space="preserve">determinism-separation claim.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target_profile.md</w:t>
      </w:r>
      <w:r>
        <w:t xml:space="preserve"> </w:t>
      </w:r>
      <w:r>
        <w:t xml:space="preserve">— LLM sections explicitly tagged</w:t>
      </w:r>
      <w:r>
        <w:t xml:space="preserve"> </w:t>
      </w:r>
      <w:r>
        <w:rPr>
          <w:i/>
          <w:iCs/>
        </w:rPr>
        <w:t xml:space="preserve">(LLM-synthesized)</w:t>
      </w:r>
      <w:r>
        <w:t xml:space="preserve">; the deterministic</w:t>
      </w:r>
      <w:r>
        <w:t xml:space="preserve"> </w:t>
      </w:r>
      <w:r>
        <w:rPr>
          <w:b/>
          <w:bCs/>
        </w:rPr>
        <w:t xml:space="preserve">risk-by-category</w:t>
      </w:r>
      <w:r>
        <w:t xml:space="preserve"> </w:t>
      </w:r>
      <w:r>
        <w:t xml:space="preserve">table, sub-verdict table, and per-phase evidence tables are not LLM.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provenance.yaml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sub_skills_ran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llm_prompt_hash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llm_model_id</w:t>
      </w:r>
      <w:r>
        <w:t xml:space="preserve">, and the artefact list.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figures/target_profile_at_a_glance.{png,svg}</w:t>
      </w:r>
      <w:r>
        <w:t xml:space="preserve"> </w:t>
      </w:r>
      <w:r>
        <w:t xml:space="preserve">— the composite panel (300 DPI; render is</w:t>
      </w:r>
      <w:r>
        <w:t xml:space="preserve"> </w:t>
      </w:r>
      <w:r>
        <w:t xml:space="preserve">wrapped so a figure failure never blocks artefact emission).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c5eb029afa5ddeb4d5db546605b52e27c301300"/>
    <w:p>
      <w:pPr>
        <w:pStyle w:val="Heading2"/>
      </w:pPr>
      <w:r>
        <w:t xml:space="preserve">5. Deterministic risk-by-category (non-LLM reshape)</w:t>
      </w:r>
    </w:p>
    <w:p>
      <w:pPr>
        <w:pStyle w:val="FirstParagraph"/>
      </w:pPr>
      <w:r>
        <w:rPr>
          <w:rStyle w:val="VerbatimChar"/>
        </w:rPr>
        <w:t xml:space="preserve">_risk_by_category_from_sub_verdicts()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run.py:371</w:t>
      </w:r>
      <w:r>
        <w:t xml:space="preserve">) maps the sub-verdicts onto the familiar</w:t>
      </w:r>
      <w:r>
        <w:t xml:space="preserve"> </w:t>
      </w:r>
      <w:r>
        <w:t xml:space="preserve">6-category risk framing</w:t>
      </w:r>
      <w:r>
        <w:t xml:space="preserve"> </w:t>
      </w:r>
      <w:r>
        <w:rPr>
          <w:b/>
          <w:bCs/>
        </w:rPr>
        <w:t xml:space="preserve">deterministically</w:t>
      </w:r>
      <w:r>
        <w:t xml:space="preserve"> </w:t>
      </w:r>
      <w:r>
        <w:t xml:space="preserve">— and honestly returns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for</w:t>
      </w:r>
      <w:r>
        <w:t xml:space="preserve"> </w:t>
      </w:r>
      <w:r>
        <w:t xml:space="preserve">phases that aren't wired yet, rather than fabricating. For the KRAS 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biological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strong support across A/B/C/mut (</w:t>
            </w:r>
            <w:r>
              <w:rPr>
                <w:rStyle w:val="VerbatimChar"/>
              </w:rPr>
              <w:t xml:space="preserve">biomarker_stratified_dependency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druggability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tractability</w:t>
            </w:r>
            <w:r>
              <w:t xml:space="preserve"> </w:t>
            </w:r>
            <w:r>
              <w:rPr>
                <w:rStyle w:val="VerbatimChar"/>
              </w:rPr>
              <w:t xml:space="preserve">well_covered</w:t>
            </w:r>
            <w:r>
              <w:t xml:space="preserve"> </w:t>
            </w:r>
            <w:r>
              <w:t xml:space="preserve">(PRISM-CRISPR triangulated)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translational</w:t>
            </w:r>
          </w:p>
        </w:tc>
        <w:tc>
          <w:tcPr/>
          <w:p>
            <w:pPr>
              <w:pStyle w:val="Compact"/>
            </w:pPr>
            <w:r>
              <w:t xml:space="preserve">insufficient_evidence</w:t>
            </w:r>
          </w:p>
        </w:tc>
        <w:tc>
          <w:tcPr/>
          <w:p>
            <w:pPr>
              <w:pStyle w:val="Compact"/>
            </w:pPr>
            <w:r>
              <w:t xml:space="preserve">Phase-J placeholder — data not wired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</w:t>
            </w:r>
          </w:p>
        </w:tc>
        <w:tc>
          <w:tcPr/>
          <w:p>
            <w:pPr>
              <w:pStyle w:val="Compact"/>
            </w:pPr>
            <w:r>
              <w:t xml:space="preserve">insufficient_evidence</w:t>
            </w:r>
          </w:p>
        </w:tc>
        <w:tc>
          <w:tcPr/>
          <w:p>
            <w:pPr>
              <w:pStyle w:val="Compact"/>
            </w:pPr>
            <w:r>
              <w:t xml:space="preserve">Phase-E clinical-precedent feed not wired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insufficient_evidence</w:t>
            </w:r>
          </w:p>
        </w:tc>
        <w:tc>
          <w:tcPr/>
          <w:p>
            <w:pPr>
              <w:pStyle w:val="Compact"/>
            </w:pPr>
            <w:r>
              <w:t xml:space="preserve">HPA + gnomAD normal-tissue cards not wired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insufficient_evidence</w:t>
            </w:r>
          </w:p>
        </w:tc>
        <w:tc>
          <w:tcPr/>
          <w:p>
            <w:pPr>
              <w:pStyle w:val="Compact"/>
            </w:pPr>
            <w:r>
              <w:t xml:space="preserve">Cortellis/IQVIA not licensed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8718c9f0b0a77cf15d7cd6bce159bdc29ab6dfb"/>
    <w:p>
      <w:pPr>
        <w:pStyle w:val="Heading2"/>
      </w:pPr>
      <w:r>
        <w:t xml:space="preserve">6. Worked artifact (first-ever</w:t>
      </w:r>
      <w:r>
        <w:t xml:space="preserve"> </w:t>
      </w:r>
      <w:r>
        <w:rPr>
          <w:rStyle w:val="VerbatimChar"/>
        </w:rPr>
        <w:t xml:space="preserve">target-profile</w:t>
      </w:r>
      <w:r>
        <w:t xml:space="preserve"> </w:t>
      </w:r>
      <w:r>
        <w:t xml:space="preserve">run)</w:t>
      </w:r>
    </w:p>
    <w:p>
      <w:pPr>
        <w:pStyle w:val="FirstParagraph"/>
      </w:pPr>
      <w:r>
        <w:t xml:space="preserve">Generated 2026-07-14,</w:t>
      </w:r>
      <w:r>
        <w:t xml:space="preserve"> </w:t>
      </w:r>
      <w:r>
        <w:rPr>
          <w:rStyle w:val="VerbatimChar"/>
        </w:rPr>
        <w:t xml:space="preserve">KRAS × COADREAD</w:t>
      </w:r>
      <w:r>
        <w:t xml:space="preserve">, via the composed skill (exact invocation in the Appendix):</w:t>
      </w:r>
    </w:p>
    <w:p>
      <w:pPr>
        <w:pStyle w:val="SourceCode"/>
      </w:pPr>
      <w:r>
        <w:rPr>
          <w:rStyle w:val="VerbatimChar"/>
        </w:rPr>
        <w:t xml:space="preserve">export AWS_PROFILE=cbg &amp;&amp; python3 skills/target-profile/scripts/run.py \</w:t>
      </w:r>
      <w:r>
        <w:br/>
      </w:r>
      <w:r>
        <w:rPr>
          <w:rStyle w:val="VerbatimChar"/>
        </w:rPr>
        <w:t xml:space="preserve">  --target KRAS --indication COADREAD --out &lt;durable-dir&gt;</w:t>
      </w:r>
    </w:p>
    <w:p>
      <w:pPr>
        <w:pStyle w:val="FirstParagraph"/>
      </w:pPr>
      <w:r>
        <w:t xml:space="preserve">Staged for review at</w:t>
      </w:r>
      <w:r>
        <w:t xml:space="preserve"> </w:t>
      </w:r>
      <w:r>
        <w:rPr>
          <w:rStyle w:val="VerbatimChar"/>
          <w:b/>
          <w:bCs/>
        </w:rPr>
        <w:t xml:space="preserve">docs/examples/target-profile-kras-coadread/</w:t>
      </w:r>
      <w:r>
        <w:t xml:space="preserve">:</w:t>
      </w:r>
      <w:r>
        <w:t xml:space="preserve"> </w:t>
      </w:r>
      <w:r>
        <w:rPr>
          <w:rStyle w:val="VerbatimChar"/>
        </w:rPr>
        <w:t xml:space="preserve">nomination.json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target_profile.md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LLM synthesis result</w:t>
      </w:r>
      <w:r>
        <w:t xml:space="preserve"> </w:t>
      </w:r>
      <w:r>
        <w:t xml:space="preserve">(model</w:t>
      </w:r>
      <w:r>
        <w:t xml:space="preserve"> </w:t>
      </w:r>
      <w:r>
        <w:rPr>
          <w:rStyle w:val="VerbatimChar"/>
        </w:rPr>
        <w:t xml:space="preserve">us.anthropic.claude-opus-4-7</w:t>
      </w:r>
      <w:r>
        <w:t xml:space="preserve">, prompt_hash</w:t>
      </w:r>
      <w:r>
        <w:t xml:space="preserve"> </w:t>
      </w:r>
      <w:r>
        <w:rPr>
          <w:rStyle w:val="VerbatimChar"/>
        </w:rPr>
        <w:t xml:space="preserve">b481f040…</w:t>
      </w:r>
      <w:r>
        <w:t xml:space="preserve">):</w:t>
      </w:r>
      <w:r>
        <w:t xml:space="preserve"> </w:t>
      </w:r>
      <w:r>
        <w:rPr>
          <w:rStyle w:val="VerbatimChar"/>
        </w:rPr>
        <w:t xml:space="preserve">overall_recommendation = nominate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 = high</w:t>
      </w:r>
      <w:r>
        <w:t xml:space="preserve">.</w:t>
      </w:r>
    </w:p>
    <w:p>
      <w:pPr>
        <w:pStyle w:val="BlockText"/>
      </w:pPr>
      <w:r>
        <w:rPr>
          <w:i/>
          <w:iCs/>
        </w:rPr>
        <w:t xml:space="preserve">Executive summary (LLM-synthesized, verbatim):</w:t>
      </w:r>
      <w:r>
        <w:t xml:space="preserve"> </w:t>
      </w:r>
      <w:r>
        <w:t xml:space="preserve">"KRAS in COADREAD presents as a well-validated,</w:t>
      </w:r>
      <w:r>
        <w:t xml:space="preserve"> </w:t>
      </w:r>
      <w:r>
        <w:t xml:space="preserve">biomarker-stratified oncology target with strong functional and pharmacological evidence. CRISPR</w:t>
      </w:r>
      <w:r>
        <w:t xml:space="preserve"> </w:t>
      </w:r>
      <w:r>
        <w:t xml:space="preserve">and RNAi both show bimodal, lineage-selective dependency enriched in Bowel (54% strongly</w:t>
      </w:r>
      <w:r>
        <w:t xml:space="preserve"> </w:t>
      </w:r>
      <w:r>
        <w:t xml:space="preserve">dependent) and Pancreas, and hotspot-mutant lines are dramatically more dependent than WT (delta</w:t>
      </w:r>
      <w:r>
        <w:t xml:space="preserve"> </w:t>
      </w:r>
      <w:r>
        <w:t xml:space="preserve">Chronos -1.32, q~1e-102). … Expression is broadly moderate/non-selective and safety/surface data</w:t>
      </w:r>
      <w:r>
        <w:t xml:space="preserve"> </w:t>
      </w:r>
      <w:r>
        <w:t xml:space="preserve">are uninformative — expected for an intracellular GTPase — so the target profile is intracellular</w:t>
      </w:r>
      <w:r>
        <w:t xml:space="preserve"> </w:t>
      </w:r>
      <w:r>
        <w:t xml:space="preserve">small-molecule/tri-complex, not surface/ADC."</w:t>
      </w:r>
    </w:p>
    <w:p>
      <w:pPr>
        <w:pStyle w:val="FirstParagraph"/>
      </w:pPr>
      <w:r>
        <w:t xml:space="preserve">Note how the synthesis</w:t>
      </w:r>
      <w:r>
        <w:t xml:space="preserve"> </w:t>
      </w:r>
      <w:r>
        <w:rPr>
          <w:b/>
          <w:bCs/>
        </w:rPr>
        <w:t xml:space="preserve">respects the per-axis signals rather than overclaiming</w:t>
      </w:r>
      <w:r>
        <w:t xml:space="preserve">: expression fired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rule (</w:t>
      </w:r>
      <w:r>
        <w:rPr>
          <w:rStyle w:val="VerbatimChar"/>
        </w:rPr>
        <w:t xml:space="preserve">expression-broadly-moderate-neutral</w:t>
      </w:r>
      <w:r>
        <w:t xml:space="preserve">), and the LLM explicitly says selectivity</w:t>
      </w:r>
      <w:r>
        <w:t xml:space="preserve"> </w:t>
      </w:r>
      <w:r>
        <w:t xml:space="preserve">"must come entirely from mutant-state pharmacology, not expression differential" — the nomination</w:t>
      </w:r>
      <w:r>
        <w:t xml:space="preserve"> </w:t>
      </w:r>
      <w:r>
        <w:t xml:space="preserve">rests on the mutation + dependency axes, exactly as the deterministic spine indicates. It also flags</w:t>
      </w:r>
      <w:r>
        <w:t xml:space="preserve"> </w:t>
      </w:r>
      <w:r>
        <w:t xml:space="preserve">real risks the spine surfaces (NRAS paralog buffering; empty safety card).</w:t>
      </w:r>
    </w:p>
    <w:p>
      <w:pPr>
        <w:pStyle w:val="BodyText"/>
      </w:pPr>
      <w:r>
        <w:t xml:space="preserve">The composite figure:</w:t>
      </w:r>
    </w:p>
    <w:p>
      <w:pPr>
        <w:pStyle w:val="BodyText"/>
      </w:pPr>
      <w:r>
        <w:drawing>
          <wp:inline>
            <wp:extent cx="5334000" cy="2824345"/>
            <wp:effectExtent b="0" l="0" r="0" t="0"/>
            <wp:docPr descr="Target profile at a glance" title="" id="22" name="Picture"/>
            <a:graphic>
              <a:graphicData uri="http://schemas.openxmlformats.org/drawingml/2006/picture">
                <pic:pic>
                  <pic:nvPicPr>
                    <pic:cNvPr descr="examples/target-profile-kras-coadread/figures/target_profile_at_a_gl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Trace to verify:</w:t>
      </w:r>
      <w:r>
        <w:t xml:space="preserve"> </w:t>
      </w:r>
      <w:r>
        <w:t xml:space="preserve">the mutation card emits</w:t>
      </w:r>
      <w:r>
        <w:t xml:space="preserve"> </w:t>
      </w:r>
      <w:r>
        <w:rPr>
          <w:rStyle w:val="VerbatimChar"/>
        </w:rPr>
        <w:t xml:space="preserve">mutation_stratification_class = mutant_strongly_dependent</w:t>
      </w:r>
      <w:r>
        <w:t xml:space="preserve"> </w:t>
      </w:r>
      <w:r>
        <w:t xml:space="preserve">(KRAS G12X addiction, mut-strat Δ≈-1.32, q≈1e-102) → fires</w:t>
      </w:r>
      <w:r>
        <w:t xml:space="preserve"> </w:t>
      </w:r>
      <w:r>
        <w:rPr>
          <w:rStyle w:val="VerbatimChar"/>
        </w:rPr>
        <w:t xml:space="preserve">mutant-strongly-dependent-supportive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small_molecule: supportive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degrader: supportive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dominant: true</w:t>
      </w:r>
      <w:r>
        <w:t xml:space="preserve">) → mutation sub-verdict</w:t>
      </w:r>
      <w:r>
        <w:t xml:space="preserve"> </w:t>
      </w:r>
      <w:r>
        <w:rPr>
          <w:rStyle w:val="VerbatimChar"/>
        </w:rPr>
        <w:t xml:space="preserve">biomarker_stratified_dependency</w:t>
      </w:r>
      <w:r>
        <w:t xml:space="preserve"> </w:t>
      </w:r>
      <w:r>
        <w:t xml:space="preserve">→ feeds biological-risk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and the LLM's arguments-for.</w:t>
      </w:r>
    </w:p>
    <w:bookmarkStart w:id="24" w:name="X0e374bc038981d3585aeee0cbcd4cf5f9d1add0"/>
    <w:p>
      <w:pPr>
        <w:pStyle w:val="Heading3"/>
      </w:pPr>
      <w:r>
        <w:t xml:space="preserve">Breadth — the sibling</w:t>
      </w:r>
      <w:r>
        <w:t xml:space="preserve"> </w:t>
      </w:r>
      <w:r>
        <w:rPr>
          <w:rStyle w:val="VerbatimChar"/>
        </w:rPr>
        <w:t xml:space="preserve">compose-dashboard</w:t>
      </w:r>
      <w:r>
        <w:t xml:space="preserve"> </w:t>
      </w:r>
      <w:r>
        <w:t xml:space="preserve">demos (committed)</w:t>
      </w:r>
    </w:p>
    <w:p>
      <w:pPr>
        <w:pStyle w:val="FirstParagraph"/>
      </w:pPr>
      <w:r>
        <w:t xml:space="preserve">Three fully-materialized evidence packages already exist in</w:t>
      </w:r>
      <w:r>
        <w:t xml:space="preserve"> </w:t>
      </w:r>
      <w:r>
        <w:rPr>
          <w:rStyle w:val="VerbatimChar"/>
        </w:rPr>
        <w:t xml:space="preserve">data-products/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compose-dashboard</w:t>
      </w:r>
      <w:r>
        <w:t xml:space="preserve"> </w:t>
      </w:r>
      <w:r>
        <w:t xml:space="preserve">path — 12–14 cards + ~29 figures each):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data-products/KRAS/COADREAD/ep-kras-coadread-unpinned-latest_approved-001/dashboard.md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data-products/EGFR/LUAD/ep-egfr-luad-unpinned-latest_approved-001/dashboard.md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data-products/BRAF/SKCM/ep-braf-skcm-unpinned-latest_approved-001/dashboard.md</w:t>
      </w:r>
    </w:p>
    <w:p>
      <w:pPr>
        <w:pStyle w:val="FirstParagraph"/>
      </w:pPr>
      <w:r>
        <w:t xml:space="preserve">Three shells (</w:t>
      </w:r>
      <w:r>
        <w:rPr>
          <w:rStyle w:val="VerbatimChar"/>
        </w:rPr>
        <w:t xml:space="preserve">MDM2/SKCM</w:t>
      </w:r>
      <w:r>
        <w:t xml:space="preserve">,</w:t>
      </w:r>
      <w:r>
        <w:t xml:space="preserve"> </w:t>
      </w:r>
      <w:r>
        <w:rPr>
          <w:rStyle w:val="VerbatimChar"/>
        </w:rPr>
        <w:t xml:space="preserve">MCL1/LUAD</w:t>
      </w:r>
      <w:r>
        <w:t xml:space="preserve">,</w:t>
      </w:r>
      <w:r>
        <w:t xml:space="preserve"> </w:t>
      </w:r>
      <w:r>
        <w:rPr>
          <w:rStyle w:val="VerbatimChar"/>
        </w:rPr>
        <w:t xml:space="preserve">HRAS/PDAC</w:t>
      </w:r>
      <w:r>
        <w:t xml:space="preserve">) carry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suffixes — honest markers that</w:t>
      </w:r>
      <w:r>
        <w:t xml:space="preserve"> </w:t>
      </w:r>
      <w:r>
        <w:t xml:space="preserve">they failed validation / aren't materialized.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f5d05daf214e26daba3f923aa06ce7edce683d3"/>
    <w:p>
      <w:pPr>
        <w:pStyle w:val="Heading2"/>
      </w:pPr>
      <w:r>
        <w:t xml:space="preserve">7. Coverage honesty — what's real vs placeholder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spine is structurally complete</w:t>
      </w:r>
      <w:r>
        <w:t xml:space="preserve"> </w:t>
      </w:r>
      <w:r>
        <w:t xml:space="preserve">(34 cards, 110 rules, full compositional test suite). What's</w:t>
      </w:r>
      <w:r>
        <w:t xml:space="preserve"> </w:t>
      </w:r>
      <w:r>
        <w:t xml:space="preserve">uneven is the</w:t>
      </w:r>
      <w:r>
        <w:t xml:space="preserve"> </w:t>
      </w:r>
      <w:r>
        <w:rPr>
          <w:i/>
          <w:iCs/>
        </w:rPr>
        <w:t xml:space="preserve">data richness</w:t>
      </w:r>
      <w:r>
        <w:t xml:space="preserve"> </w:t>
      </w:r>
      <w:r>
        <w:t xml:space="preserve">underneath. Current status (per</w:t>
      </w:r>
      <w:r>
        <w:t xml:space="preserve"> </w:t>
      </w:r>
      <w:r>
        <w:rPr>
          <w:rStyle w:val="VerbatimChar"/>
        </w:rPr>
        <w:t xml:space="preserve">~/.claude/plans/skills-roadmap-assessment-2026-07-10.md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presence</w:t>
            </w:r>
          </w:p>
        </w:tc>
        <w:tc>
          <w:tcPr/>
          <w:p>
            <w:pPr>
              <w:pStyle w:val="Compact"/>
            </w:pPr>
            <w:r>
              <w:t xml:space="preserve">tumor-presence</w:t>
            </w:r>
          </w:p>
        </w:tc>
        <w:tc>
          <w:tcPr/>
          <w:p>
            <w:pPr>
              <w:pStyle w:val="Compact"/>
            </w:pPr>
            <w:r>
              <w:t xml:space="preserve">wired (protein/CPTAC layer partial)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selectivity</w:t>
            </w:r>
          </w:p>
        </w:tc>
        <w:tc>
          <w:tcPr/>
          <w:p>
            <w:pPr>
              <w:pStyle w:val="Compact"/>
            </w:pPr>
            <w:r>
              <w:t xml:space="preserve">tumor-selectivity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requirement</w:t>
            </w:r>
          </w:p>
        </w:tc>
        <w:tc>
          <w:tcPr/>
          <w:p>
            <w:pPr>
              <w:pStyle w:val="Compact"/>
            </w:pPr>
            <w:r>
              <w:t xml:space="preserve">functional-requirement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mechanism</w:t>
            </w:r>
          </w:p>
        </w:tc>
        <w:tc>
          <w:tcPr/>
          <w:p>
            <w:pPr>
              <w:pStyle w:val="Compact"/>
            </w:pPr>
            <w:r>
              <w:t xml:space="preserve">mechanism-and-pharmacology</w:t>
            </w:r>
          </w:p>
        </w:tc>
        <w:tc>
          <w:tcPr/>
          <w:p>
            <w:pPr>
              <w:pStyle w:val="Compact"/>
            </w:pPr>
            <w:r>
              <w:t xml:space="preserve">wired (cold path slow)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A/E mutation</w:t>
            </w:r>
          </w:p>
        </w:tc>
        <w:tc>
          <w:tcPr/>
          <w:p>
            <w:pPr>
              <w:pStyle w:val="Compact"/>
            </w:pPr>
            <w:r>
              <w:t xml:space="preserve">mutation-profile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differentiation</w:t>
            </w:r>
          </w:p>
        </w:tc>
        <w:tc>
          <w:tcPr/>
          <w:p>
            <w:pPr>
              <w:pStyle w:val="Compact"/>
            </w:pPr>
            <w:r>
              <w:t xml:space="preserve">differentiation-landscape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(co-mutation data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tractability</w:t>
            </w:r>
          </w:p>
        </w:tc>
        <w:tc>
          <w:tcPr/>
          <w:p>
            <w:pPr>
              <w:pStyle w:val="Compact"/>
            </w:pPr>
            <w:r>
              <w:t xml:space="preserve">tractability-and-modality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(3/9 cards; 6 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surface scan</w:t>
            </w:r>
          </w:p>
        </w:tc>
        <w:tc>
          <w:tcPr/>
          <w:p>
            <w:pPr>
              <w:pStyle w:val="Compact"/>
            </w:pPr>
            <w:r>
              <w:t xml:space="preserve">surfaceome-cohort-ranking</w:t>
            </w:r>
          </w:p>
        </w:tc>
        <w:tc>
          <w:tcPr/>
          <w:p>
            <w:pPr>
              <w:pStyle w:val="Compact"/>
            </w:pPr>
            <w:r>
              <w:t xml:space="preserve">wired (parquet not yet on 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safety</w:t>
            </w:r>
          </w:p>
        </w:tc>
        <w:tc>
          <w:tcPr/>
          <w:p>
            <w:pPr>
              <w:pStyle w:val="Compact"/>
            </w:pPr>
            <w:r>
              <w:t xml:space="preserve">on-target-safety-liability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(gnomAD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population</w:t>
            </w:r>
          </w:p>
        </w:tc>
        <w:tc>
          <w:tcPr/>
          <w:p>
            <w:pPr>
              <w:pStyle w:val="Compact"/>
            </w:pPr>
            <w:r>
              <w:t xml:space="preserve">patient-population-and-access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(hotspot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combo/resistance</w:t>
            </w:r>
          </w:p>
        </w:tc>
        <w:tc>
          <w:tcPr/>
          <w:p>
            <w:pPr>
              <w:pStyle w:val="Compact"/>
            </w:pPr>
            <w:r>
              <w:t xml:space="preserve">combo-and-resistance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PLACEHOLDER</w:t>
            </w:r>
            <w:r>
              <w:t xml:space="preserve"> </w:t>
            </w:r>
            <w:r>
              <w:t xml:space="preserve">(cards not designed)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translational</w:t>
            </w:r>
          </w:p>
        </w:tc>
        <w:tc>
          <w:tcPr/>
          <w:p>
            <w:pPr>
              <w:pStyle w:val="Compact"/>
            </w:pPr>
            <w:r>
              <w:t xml:space="preserve">translational-readiness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PLACEHOLDER</w:t>
            </w:r>
            <w:r>
              <w:t xml:space="preserve"> </w:t>
            </w:r>
            <w:r>
              <w:t xml:space="preserve">(cards not designed)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composer</w:t>
            </w:r>
          </w:p>
        </w:tc>
        <w:tc>
          <w:tcPr/>
          <w:p>
            <w:pPr>
              <w:pStyle w:val="Compact"/>
            </w:pPr>
            <w:r>
              <w:t xml:space="preserve">target-profile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8 wired / 3 partial / 2 transparent placeholders.</w:t>
      </w:r>
      <w:r>
        <w:t xml:space="preserve"> </w:t>
      </w:r>
      <w:r>
        <w:t xml:space="preserve">Root cause of the partials: five Layer-3</w:t>
      </w:r>
      <w:r>
        <w:t xml:space="preserve"> </w:t>
      </w:r>
      <w:r>
        <w:t xml:space="preserve">derived parquets were reverted in data-catalog PR #113 (2026-07-09) because their manifests carried</w:t>
      </w:r>
      <w:r>
        <w:t xml:space="preserve"> </w:t>
      </w:r>
      <w:r>
        <w:rPr>
          <w:rStyle w:val="VerbatimChar"/>
        </w:rPr>
        <w:t xml:space="preserve">TBD_ON_INGEST</w:t>
      </w:r>
      <w:r>
        <w:t xml:space="preserve"> </w:t>
      </w:r>
      <w:r>
        <w:t xml:space="preserve">md5/size placeholders. Re-landing the 3 unblocked ones (cooccurrence, CPTAC,</w:t>
      </w:r>
      <w:r>
        <w:t xml:space="preserve"> </w:t>
      </w:r>
      <w:r>
        <w:t xml:space="preserve">surfaceome-family) moves the framework 6/12 → 9/12 real.</w:t>
      </w:r>
    </w:p>
    <w:p>
      <w:pPr>
        <w:pStyle w:val="BlockText"/>
      </w:pPr>
      <w:r>
        <w:rPr>
          <w:b/>
          <w:bCs/>
        </w:rPr>
        <w:t xml:space="preserve">Not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insufficient</w:t>
      </w:r>
      <w:r>
        <w:rPr>
          <w:b/>
          <w:bCs/>
        </w:rPr>
        <w:t xml:space="preserve"> </w:t>
      </w:r>
      <w:r>
        <w:rPr>
          <w:b/>
          <w:bCs/>
        </w:rPr>
        <w:t xml:space="preserve">in the §6 KRAS run is a genuine data gap</w:t>
      </w:r>
      <w:r>
        <w:t xml:space="preserve"> </w:t>
      </w:r>
      <w:r>
        <w:t xml:space="preserve">— some are decision-layer</w:t>
      </w:r>
      <w:r>
        <w:t xml:space="preserve"> </w:t>
      </w:r>
      <w:r>
        <w:t xml:space="preserve">bugs being fixed in a parallel workstream. See §9 Known issues before trusting an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verdict.</w:t>
      </w:r>
    </w:p>
    <w:p>
      <w:r>
        <w:pict>
          <v:rect style="width:0;height:1.5pt" o:hralign="center" o:hrstd="t" o:hr="t"/>
        </w:pict>
      </w:r>
    </w:p>
    <w:bookmarkEnd w:id="26"/>
    <w:bookmarkStart w:id="27" w:name="X96802aa49a21f2187c31f6a5d53edeecdbe0ffe"/>
    <w:p>
      <w:pPr>
        <w:pStyle w:val="Heading2"/>
      </w:pPr>
      <w:r>
        <w:t xml:space="preserve">8. Open design questions (folded in from SHOWCASE_DESIGN.md)</w:t>
      </w:r>
    </w:p>
    <w:p>
      <w:pPr>
        <w:pStyle w:val="FirstParagraph"/>
      </w:pPr>
      <w:r>
        <w:t xml:space="preserve">🗳️</w:t>
      </w:r>
      <w:r>
        <w:t xml:space="preserve"> </w:t>
      </w:r>
      <w:r>
        <w:rPr>
          <w:b/>
          <w:bCs/>
        </w:rPr>
        <w:t xml:space="preserve">OPEN — Decision 1 · Targets.</w:t>
      </w:r>
      <w:r>
        <w:t xml:space="preserve"> </w:t>
      </w:r>
      <w:r>
        <w:t xml:space="preserve">Ryan's lean: KRAS/COADREAD hero + EGFR/LUAD + BRAF/SKCM (the 3</w:t>
      </w:r>
      <w:r>
        <w:t xml:space="preserve"> </w:t>
      </w:r>
      <w:r>
        <w:t xml:space="preserve">materialized). Should we materialize a non-textbook ODDU-relevant target (MDM2/MCL1/HRAS)? Should we</w:t>
      </w:r>
      <w:r>
        <w:t xml:space="preserve"> </w:t>
      </w:r>
      <w:r>
        <w:t xml:space="preserve">include a deliberately negative/ambiguous target to show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?</w:t>
      </w:r>
    </w:p>
    <w:p>
      <w:pPr>
        <w:pStyle w:val="BodyText"/>
      </w:pPr>
      <w:r>
        <w:t xml:space="preserve">🗳️</w:t>
      </w:r>
      <w:r>
        <w:t xml:space="preserve"> </w:t>
      </w:r>
      <w:r>
        <w:rPr>
          <w:b/>
          <w:bCs/>
        </w:rPr>
        <w:t xml:space="preserve">OPEN — Decision 2 · Data.</w:t>
      </w:r>
      <w:r>
        <w:t xml:space="preserve"> </w:t>
      </w:r>
      <w:r>
        <w:t xml:space="preserve">No new data needed for the 3-target showcase (DepMap+TCGA+PRISM</w:t>
      </w:r>
      <w:r>
        <w:t xml:space="preserve"> </w:t>
      </w:r>
      <w:r>
        <w:t xml:space="preserve">backbone). Do we disclose "RNA-only presence" or land CPTAC before showing ODDU (they care about</w:t>
      </w:r>
      <w:r>
        <w:t xml:space="preserve"> </w:t>
      </w:r>
      <w:r>
        <w:t xml:space="preserve">protein-level presence for modality)? Tractability has 6/9 surface cards unavailable — disclose or</w:t>
      </w:r>
      <w:r>
        <w:t xml:space="preserve"> </w:t>
      </w:r>
      <w:r>
        <w:t xml:space="preserve">downscope?</w:t>
      </w:r>
    </w:p>
    <w:p>
      <w:pPr>
        <w:pStyle w:val="BodyText"/>
      </w:pPr>
      <w:r>
        <w:t xml:space="preserve">🗳️</w:t>
      </w:r>
      <w:r>
        <w:t xml:space="preserve"> </w:t>
      </w:r>
      <w:r>
        <w:rPr>
          <w:b/>
          <w:bCs/>
        </w:rPr>
        <w:t xml:space="preserve">OPEN — Decision 3 · Cards.</w:t>
      </w:r>
      <w:r>
        <w:t xml:space="preserve"> </w:t>
      </w:r>
      <w:r>
        <w:t xml:space="preserve">Show the full composed profile, spotlight 3 hero cards</w:t>
      </w:r>
      <w:r>
        <w:t xml:space="preserve"> </w:t>
      </w:r>
      <w:r>
        <w:t xml:space="preserve">(mutation-stratified-dependency, dependency-lineage-selectivity, prism-crispr-concordance). Which</w:t>
      </w:r>
      <w:r>
        <w:t xml:space="preserve"> </w:t>
      </w:r>
      <w:r>
        <w:t xml:space="preserve">cards "wow" ODDU specifically? Any card weak enough to hide rather than disclose?</w:t>
      </w:r>
    </w:p>
    <w:p>
      <w:pPr>
        <w:pStyle w:val="BodyText"/>
      </w:pPr>
      <w:r>
        <w:t xml:space="preserve">🗳️</w:t>
      </w:r>
      <w:r>
        <w:t xml:space="preserve"> </w:t>
      </w:r>
      <w:r>
        <w:rPr>
          <w:b/>
          <w:bCs/>
        </w:rPr>
        <w:t xml:space="preserve">OPEN — Decision 4 · Plots.</w:t>
      </w:r>
      <w:r>
        <w:t xml:space="preserve"> </w:t>
      </w:r>
      <w:r>
        <w:t xml:space="preserve">Figure quality bar for slide-drop (300 DPI). Adopt</w:t>
      </w:r>
      <w:r>
        <w:t xml:space="preserve"> </w:t>
      </w:r>
      <w:r>
        <w:rPr>
          <w:rStyle w:val="VerbatimChar"/>
        </w:rPr>
        <w:t xml:space="preserve">takeda_oncology.mplstyle</w:t>
      </w:r>
      <w:r>
        <w:t xml:space="preserve"> </w:t>
      </w:r>
      <w:r>
        <w:t xml:space="preserve">uniformly? Want a single profile-at-a-glance headline visual (the</w:t>
      </w:r>
      <w:r>
        <w:t xml:space="preserve"> </w:t>
      </w:r>
      <w:r>
        <w:t xml:space="preserve">composite panel)?</w:t>
      </w:r>
    </w:p>
    <w:p>
      <w:pPr>
        <w:pStyle w:val="BodyText"/>
      </w:pPr>
      <w:r>
        <w:t xml:space="preserve">🗳️</w:t>
      </w:r>
      <w:r>
        <w:t xml:space="preserve"> </w:t>
      </w:r>
      <w:r>
        <w:rPr>
          <w:b/>
          <w:bCs/>
        </w:rPr>
        <w:t xml:space="preserve">OPEN — Decision 5 · Synthesis / the nomination bar (highest stakes).</w:t>
      </w:r>
      <w:r>
        <w:t xml:space="preserve"> </w:t>
      </w:r>
      <w:r>
        <w:t xml:space="preserve">What evidence justifies</w:t>
      </w:r>
      <w:r>
        <w:t xml:space="preserve"> </w:t>
      </w:r>
      <w:r>
        <w:rPr>
          <w:rStyle w:val="VerbatimChar"/>
        </w:rPr>
        <w:t xml:space="preserve">nominate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veto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? Today the LLM decides within prompt</w:t>
      </w:r>
      <w:r>
        <w:t xml:space="preserve"> </w:t>
      </w:r>
      <w:r>
        <w:t xml:space="preserve">guidance. Should we encode explicit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(e.g. "veto if pan-essential") as rules at the</w:t>
      </w:r>
      <w:r>
        <w:t xml:space="preserve"> </w:t>
      </w:r>
      <w:r>
        <w:t xml:space="preserve">synthesis level — mirroring how §4.4 rules encode judgment at the card level? Demo with a modality</w:t>
      </w:r>
      <w:r>
        <w:t xml:space="preserve"> </w:t>
      </w:r>
      <w:r>
        <w:t xml:space="preserve">lens or hypothesis-neutral? Executive-summary tone/length; include "what would change your mind"</w:t>
      </w:r>
      <w:r>
        <w:t xml:space="preserve"> </w:t>
      </w:r>
      <w:r>
        <w:t xml:space="preserve">kill-experiments?</w:t>
      </w:r>
    </w:p>
    <w:p>
      <w:r>
        <w:pict>
          <v:rect style="width:0;height:1.5pt" o:hralign="center" o:hrstd="t" o:hr="t"/>
        </w:pict>
      </w:r>
    </w:p>
    <w:bookmarkEnd w:id="27"/>
    <w:bookmarkStart w:id="28" w:name="X2253025930b1445c0d5baa0b957f69f468f2e93"/>
    <w:p>
      <w:pPr>
        <w:pStyle w:val="Heading2"/>
      </w:pPr>
      <w:r>
        <w:t xml:space="preserve">9. Known issues &amp; follow-ups</w:t>
      </w:r>
    </w:p>
    <w:p>
      <w:pPr>
        <w:pStyle w:val="FirstParagraph"/>
      </w:pPr>
      <w:r>
        <w:t xml:space="preserve">Engineering caveats surfaced while producing this walkthrough. None affect the deterministic spine's</w:t>
      </w:r>
      <w:r>
        <w:t xml:space="preserve"> </w:t>
      </w:r>
      <w:r>
        <w:t xml:space="preserve">reproducibility; all are tracked for fix.</w:t>
      </w:r>
    </w:p>
    <w:p>
      <w:pPr>
        <w:pStyle w:val="BodyText"/>
      </w:pPr>
      <w:r>
        <w:rPr>
          <w:b/>
          <w:bCs/>
        </w:rPr>
        <w:t xml:space="preserve">9.1 — LLM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_prompt_hash</w:t>
      </w:r>
      <w:r>
        <w:rPr>
          <w:b/>
          <w:bCs/>
        </w:rPr>
        <w:t xml:space="preserve"> </w:t>
      </w:r>
      <w:r>
        <w:rPr>
          <w:b/>
          <w:bCs/>
        </w:rPr>
        <w:t xml:space="preserve">is not byte-stable across process launches.</w:t>
      </w:r>
      <w:r>
        <w:t xml:space="preserve"> </w:t>
      </w:r>
      <w:r>
        <w:t xml:space="preserve">The two real KRAS runs</w:t>
      </w:r>
      <w:r>
        <w:t xml:space="preserve"> </w:t>
      </w:r>
      <w:r>
        <w:t xml:space="preserve">stamped different hashes (</w:t>
      </w:r>
      <w:r>
        <w:rPr>
          <w:rStyle w:val="VerbatimChar"/>
        </w:rPr>
        <w:t xml:space="preserve">b481f040…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dadfbc27…</w:t>
      </w:r>
      <w:r>
        <w:t xml:space="preserve">), even though the deterministic spine was</w:t>
      </w:r>
      <w:r>
        <w:t xml:space="preserve"> </w:t>
      </w:r>
      <w:r>
        <w:t xml:space="preserve">byte-identical and the recommendation was</w:t>
      </w:r>
      <w:r>
        <w:t xml:space="preserve"> </w:t>
      </w:r>
      <w:r>
        <w:rPr>
          <w:rStyle w:val="VerbatimChar"/>
        </w:rPr>
        <w:t xml:space="preserve">nominate</w:t>
      </w:r>
      <w:r>
        <w:t xml:space="preserve"> </w:t>
      </w:r>
      <w:r>
        <w:t xml:space="preserve">both times. In a controlled test the user prompt</w:t>
      </w:r>
      <w:r>
        <w:t xml:space="preserve"> </w:t>
      </w:r>
      <w:r>
        <w:t xml:space="preserve">reconstructs byte-for-byte identically both within one process and across two separate processes — so</w:t>
      </w:r>
      <w:r>
        <w:t xml:space="preserve"> </w:t>
      </w:r>
      <w:r>
        <w:t xml:space="preserve">the cross-run hash difference is</w:t>
      </w:r>
      <w:r>
        <w:t xml:space="preserve"> </w:t>
      </w:r>
      <w:r>
        <w:rPr>
          <w:b/>
          <w:bCs/>
        </w:rPr>
        <w:t xml:space="preserve">currently unexplained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PYTHONHASHSEED</w:t>
      </w:r>
      <w:r>
        <w:t xml:space="preserve">-driven ordering effect</w:t>
      </w:r>
      <w:r>
        <w:t xml:space="preserve"> </w:t>
      </w:r>
      <w:r>
        <w:t xml:space="preserve">in some part of the hashed string is the leading hypothesis, not a confirmed cause).</w:t>
      </w:r>
      <w:r>
        <w:t xml:space="preserve"> </w:t>
      </w:r>
      <w:r>
        <w:rPr>
          <w:i/>
          <w:iCs/>
        </w:rPr>
        <w:t xml:space="preserve">Impact:</w:t>
      </w:r>
      <w:r>
        <w:t xml:space="preserve"> </w:t>
      </w:r>
      <w:r>
        <w:t xml:space="preserve">the</w:t>
      </w:r>
      <w:r>
        <w:t xml:space="preserve"> </w:t>
      </w:r>
      <w:r>
        <w:t xml:space="preserve">hash works as an audit fingerprint of a single run, but cannot yet be used as a cross-run</w:t>
      </w:r>
      <w:r>
        <w:t xml:space="preserve"> </w:t>
      </w:r>
      <w:r>
        <w:t xml:space="preserve">drift alarm.</w:t>
      </w:r>
      <w:r>
        <w:t xml:space="preserve"> </w:t>
      </w:r>
      <w:r>
        <w:rPr>
          <w:i/>
          <w:iCs/>
        </w:rPr>
        <w:t xml:space="preserve">Follow-up:</w:t>
      </w:r>
      <w:r>
        <w:t xml:space="preserve"> </w:t>
      </w:r>
      <w:r>
        <w:t xml:space="preserve">pin</w:t>
      </w:r>
      <w:r>
        <w:t xml:space="preserve"> </w:t>
      </w:r>
      <w:r>
        <w:rPr>
          <w:rStyle w:val="VerbatimChar"/>
        </w:rPr>
        <w:t xml:space="preserve">PYTHONHASHSEED</w:t>
      </w:r>
      <w:r>
        <w:t xml:space="preserve"> </w:t>
      </w:r>
      <w:r>
        <w:t xml:space="preserve">(and/or sort keys in the summary serialization),</w:t>
      </w:r>
      <w:r>
        <w:t xml:space="preserve"> </w:t>
      </w:r>
      <w:r>
        <w:t xml:space="preserve">re-test, and confirm hash-equality before advertising it as a reproducibility guarantee.</w:t>
      </w:r>
    </w:p>
    <w:p>
      <w:pPr>
        <w:pStyle w:val="BodyText"/>
      </w:pPr>
      <w:r>
        <w:rPr>
          <w:b/>
          <w:bCs/>
        </w:rPr>
        <w:t xml:space="preserve">9.2 — Some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insufficient</w:t>
      </w:r>
      <w:r>
        <w:rPr>
          <w:b/>
          <w:bCs/>
        </w:rPr>
        <w:t xml:space="preserve"> </w:t>
      </w:r>
      <w:r>
        <w:rPr>
          <w:b/>
          <w:bCs/>
        </w:rPr>
        <w:t xml:space="preserve">sub-verdicts are decision-layer bugs, not data gaps.</w:t>
      </w:r>
      <w:r>
        <w:t xml:space="preserve"> </w:t>
      </w:r>
      <w:r>
        <w:t xml:space="preserve">A parallel</w:t>
      </w:r>
      <w:r>
        <w:t xml:space="preserve"> </w:t>
      </w:r>
      <w:r>
        <w:t xml:space="preserve">hardening workstream (</w:t>
      </w:r>
      <w:r>
        <w:rPr>
          <w:rStyle w:val="VerbatimChar"/>
        </w:rPr>
        <w:t xml:space="preserve">fix/skills-rule-firing-hardening</w:t>
      </w:r>
      <w:r>
        <w:t xml:space="preserve">, PR #60) identified bugs in</w:t>
      </w:r>
      <w:r>
        <w:t xml:space="preserve"> </w:t>
      </w:r>
      <w:r>
        <w:rPr>
          <w:rStyle w:val="VerbatimChar"/>
        </w:rPr>
        <w:t xml:space="preserve">skills/_skills_common/</w:t>
      </w:r>
      <w:r>
        <w:t xml:space="preserve"> </w:t>
      </w:r>
      <w:r>
        <w:t xml:space="preserve">that suppress rules even when data is present — notably a bool-vs-string</w:t>
      </w:r>
      <w:r>
        <w:t xml:space="preserve"> </w:t>
      </w:r>
      <w:r>
        <w:t xml:space="preserve">match bug (rules encode</w:t>
      </w:r>
      <w:r>
        <w:t xml:space="preserve"> </w:t>
      </w:r>
      <w:r>
        <w:rPr>
          <w:rStyle w:val="VerbatimChar"/>
        </w:rPr>
        <w:t xml:space="preserve">equals: 'true'</w:t>
      </w:r>
      <w:r>
        <w:t xml:space="preserve"> </w:t>
      </w:r>
      <w:r>
        <w:t xml:space="preserve">while readers emit Python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 which kills the</w:t>
      </w:r>
      <w:r>
        <w:t xml:space="preserve"> </w:t>
      </w:r>
      <w:r>
        <w:t xml:space="preserve">boolean-keyed rules behind</w:t>
      </w:r>
      <w:r>
        <w:t xml:space="preserve"> </w:t>
      </w:r>
      <w:r>
        <w:rPr>
          <w:b/>
          <w:bCs/>
        </w:rPr>
        <w:t xml:space="preserve">differentiation-landscape</w:t>
      </w:r>
      <w:r>
        <w:t xml:space="preserve"> </w:t>
      </w:r>
      <w:r>
        <w:t xml:space="preserve">(co-mutation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present for KRAS —</w:t>
      </w:r>
      <w:r>
        <w:t xml:space="preserve"> </w:t>
      </w:r>
      <w:r>
        <w:t xml:space="preserve">APC/SMAD4 co-occurrence, BRAF/EGFR exclusivity — but the sub-verdict reads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) and</w:t>
      </w:r>
      <w:r>
        <w:t xml:space="preserve"> </w:t>
      </w:r>
      <w:r>
        <w:rPr>
          <w:b/>
          <w:bCs/>
        </w:rPr>
        <w:t xml:space="preserve">mechanism</w:t>
      </w:r>
      <w:r>
        <w:t xml:space="preserve">'s PD-marker rule.</w:t>
      </w:r>
      <w:r>
        <w:t xml:space="preserve"> </w:t>
      </w:r>
      <w:r>
        <w:rPr>
          <w:i/>
          <w:iCs/>
        </w:rPr>
        <w:t xml:space="preserve">Follow-up:</w:t>
      </w:r>
      <w:r>
        <w:t xml:space="preserve"> </w:t>
      </w:r>
      <w:r>
        <w:t xml:space="preserve">after that PR merges,</w:t>
      </w:r>
      <w:r>
        <w:t xml:space="preserve"> </w:t>
      </w:r>
      <w:r>
        <w:rPr>
          <w:b/>
          <w:bCs/>
        </w:rPr>
        <w:t xml:space="preserve">re-generate</w:t>
      </w:r>
      <w:r>
        <w:t xml:space="preserve"> </w:t>
      </w:r>
      <w:r>
        <w:t xml:space="preserve">the §6 KRAS run so</w:t>
      </w:r>
      <w:r>
        <w:t xml:space="preserve"> </w:t>
      </w:r>
      <w:r>
        <w:rPr>
          <w:rStyle w:val="VerbatimChar"/>
        </w:rPr>
        <w:t xml:space="preserve">differentiation</w:t>
      </w:r>
      <w:r>
        <w:t xml:space="preserve"> </w:t>
      </w:r>
      <w:r>
        <w:t xml:space="preserve">fires a real verdict. By contrast,</w:t>
      </w:r>
      <w:r>
        <w:t xml:space="preserve"> </w:t>
      </w:r>
      <w:r>
        <w:rPr>
          <w:rStyle w:val="VerbatimChar"/>
        </w:rPr>
        <w:t xml:space="preserve">safety → insufficient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genuine data gap</w:t>
      </w:r>
      <w:r>
        <w:t xml:space="preserve"> </w:t>
      </w:r>
      <w:r>
        <w:t xml:space="preserve">(the gnomAD LoF card returned empty here).</w:t>
      </w:r>
    </w:p>
    <w:p>
      <w:pPr>
        <w:pStyle w:val="BodyText"/>
      </w:pPr>
      <w:r>
        <w:rPr>
          <w:b/>
          <w:bCs/>
        </w:rPr>
        <w:t xml:space="preserve">9.3 — Runtime environment has two easy-to-trip prerequisites</w:t>
      </w:r>
      <w:r>
        <w:t xml:space="preserve"> </w:t>
      </w:r>
      <w:r>
        <w:t xml:space="preserve">(see Appendix): the Python must have</w:t>
      </w:r>
      <w:r>
        <w:t xml:space="preserve"> </w:t>
      </w:r>
      <w:r>
        <w:t xml:space="preserve">both the data stack and</w:t>
      </w:r>
      <w:r>
        <w:t xml:space="preserve"> </w:t>
      </w:r>
      <w:r>
        <w:rPr>
          <w:rStyle w:val="VerbatimChar"/>
        </w:rPr>
        <w:t xml:space="preserve">anthropic[bedrock]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must be a raw Bedrock-invokable id</w:t>
      </w:r>
      <w:r>
        <w:t xml:space="preserve"> </w:t>
      </w:r>
      <w:r>
        <w:t xml:space="preserve">(the harness's</w:t>
      </w:r>
      <w:r>
        <w:t xml:space="preserve"> </w:t>
      </w:r>
      <w:r>
        <w:rPr>
          <w:rStyle w:val="VerbatimChar"/>
        </w:rPr>
        <w:t xml:space="preserve">…opus-4-8[1m]</w:t>
      </w:r>
      <w:r>
        <w:t xml:space="preserve"> </w:t>
      </w:r>
      <w:r>
        <w:t xml:space="preserve">alias returns HTTP 400). Both are documented in the skill's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9.4 — Phase-letter labels are inconsistent.</w:t>
      </w:r>
      <w:r>
        <w:t xml:space="preserve"> </w:t>
      </w:r>
      <w:r>
        <w:t xml:space="preserve">The §5 risk-by-category drivers and the §7 status</w:t>
      </w:r>
      <w:r>
        <w:t xml:space="preserve"> </w:t>
      </w:r>
      <w:r>
        <w:t xml:space="preserve">table use different phase letters for the same skills (e.g. safety appears as "Phase-G" in §5 but the</w:t>
      </w:r>
      <w:r>
        <w:t xml:space="preserve"> </w:t>
      </w:r>
      <w:r>
        <w:t xml:space="preserve">status table calls differentiation "Phase E"). These strings originate in the code; harmonizing the</w:t>
      </w:r>
      <w:r>
        <w:t xml:space="preserve"> </w:t>
      </w:r>
      <w:r>
        <w:t xml:space="preserve">phase taxonomy is a low-priority cleanup.</w:t>
      </w:r>
    </w:p>
    <w:p>
      <w:r>
        <w:pict>
          <v:rect style="width:0;height:1.5pt" o:hralign="center" o:hrstd="t" o:hr="t"/>
        </w:pict>
      </w:r>
    </w:p>
    <w:bookmarkEnd w:id="28"/>
    <w:bookmarkStart w:id="29" w:name="appendix--reproduce-this-yourself"/>
    <w:p>
      <w:pPr>
        <w:pStyle w:val="Heading2"/>
      </w:pPr>
      <w:r>
        <w:t xml:space="preserve">Appendix — reproduce this yourself</w:t>
      </w:r>
    </w:p>
    <w:p>
      <w:pPr>
        <w:pStyle w:val="FirstParagraph"/>
      </w:pPr>
      <w:r>
        <w:t xml:space="preserve">The runtime Python must have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scientific stack (pandas/pyarrow/boto3, for the sub-skill</w:t>
      </w:r>
      <w:r>
        <w:t xml:space="preserve"> </w:t>
      </w:r>
      <w:r>
        <w:t xml:space="preserve">card readers)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anthropic[bedrock]</w:t>
      </w:r>
      <w:r>
        <w:t xml:space="preserve"> </w:t>
      </w:r>
      <w:r>
        <w:t xml:space="preserve">(for the synthesis). The base SageMaker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(3.12)</w:t>
      </w:r>
      <w:r>
        <w:t xml:space="preserve"> </w:t>
      </w:r>
      <w:r>
        <w:t xml:space="preserve">has the data stack; add the synthesis client once with</w:t>
      </w:r>
      <w:r>
        <w:t xml:space="preserve"> </w:t>
      </w:r>
      <w:r>
        <w:rPr>
          <w:rStyle w:val="VerbatimChar"/>
        </w:rPr>
        <w:t xml:space="preserve">pip install --user "anthropic[bedrock]"</w:t>
      </w:r>
      <w:r>
        <w:t xml:space="preserve">.</w:t>
      </w:r>
      <w:r>
        <w:t xml:space="preserve"> </w:t>
      </w:r>
      <w:r>
        <w:t xml:space="preserve">(Note: the</w:t>
      </w:r>
      <w:r>
        <w:t xml:space="preserve"> </w:t>
      </w:r>
      <w:r>
        <w:rPr>
          <w:rStyle w:val="VerbatimChar"/>
        </w:rPr>
        <w:t xml:space="preserve">workflow-target-evaluation-onc</w:t>
      </w:r>
      <w:r>
        <w:t xml:space="preserve"> </w:t>
      </w:r>
      <w:r>
        <w:t xml:space="preserve">pixi env has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data stack, so</w:t>
      </w:r>
      <w:r>
        <w:t xml:space="preserve"> </w:t>
      </w:r>
      <w:r>
        <w:t xml:space="preserve">it produces an all-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run — don't use it here.)</w:t>
      </w:r>
    </w:p>
    <w:p>
      <w:pPr>
        <w:pStyle w:val="SourceCode"/>
      </w:pPr>
      <w:r>
        <w:rPr>
          <w:rStyle w:val="VerbatimChar"/>
        </w:rPr>
        <w:t xml:space="preserve">export AWS_PROFILE=cbg &amp;&amp; export AWS_REGION=us-east-1</w:t>
      </w:r>
      <w:r>
        <w:br/>
      </w:r>
      <w:r>
        <w:rPr>
          <w:rStyle w:val="VerbatimChar"/>
        </w:rPr>
        <w:t xml:space="preserve"># ANTHROPIC_MODEL must be a raw Bedrock-invokable id. The Claude Code harness sets</w:t>
      </w:r>
      <w:r>
        <w:br/>
      </w:r>
      <w:r>
        <w:rPr>
          <w:rStyle w:val="VerbatimChar"/>
        </w:rPr>
        <w:t xml:space="preserve"># ...opus-4-8[1m]; that [1m] alias is NOT Bedrock-invokable (HTTP 400) — override it:</w:t>
      </w:r>
      <w:r>
        <w:br/>
      </w:r>
      <w:r>
        <w:rPr>
          <w:rStyle w:val="VerbatimChar"/>
        </w:rPr>
        <w:t xml:space="preserve">export ANTHROPIC_MODEL=us.anthropic.claude-opus-4-7</w:t>
      </w:r>
      <w:r>
        <w:br/>
      </w:r>
      <w:r>
        <w:rPr>
          <w:rStyle w:val="VerbatimChar"/>
        </w:rPr>
        <w:t xml:space="preserve">python3 skills/target-profile/scripts/run.py \</w:t>
      </w:r>
      <w:r>
        <w:br/>
      </w:r>
      <w:r>
        <w:rPr>
          <w:rStyle w:val="VerbatimChar"/>
        </w:rPr>
        <w:t xml:space="preserve">  --target KRAS --indication COADREAD \</w:t>
      </w:r>
      <w:r>
        <w:br/>
      </w:r>
      <w:r>
        <w:rPr>
          <w:rStyle w:val="VerbatimChar"/>
        </w:rPr>
        <w:t xml:space="preserve">  --out ~/dev/framework-runs/target-profile-kras-coadread-2026-07-14</w:t>
      </w:r>
    </w:p>
    <w:p>
      <w:pPr>
        <w:pStyle w:val="FirstParagraph"/>
      </w:pPr>
      <w:r>
        <w:t xml:space="preserve">Optional lenses:</w:t>
      </w:r>
      <w:r>
        <w:t xml:space="preserve"> </w:t>
      </w:r>
      <w:r>
        <w:rPr>
          <w:rStyle w:val="VerbatimChar"/>
        </w:rPr>
        <w:t xml:space="preserve">--modality small_molecule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--therapeutic-hypothesis "&lt;text&gt;"</w:t>
      </w:r>
      <w:r>
        <w:t xml:space="preserve"> </w:t>
      </w:r>
      <w:r>
        <w:t xml:space="preserve">(both reshape LLM</w:t>
      </w:r>
      <w:r>
        <w:t xml:space="preserve"> </w:t>
      </w:r>
      <w:r>
        <w:t xml:space="preserve">narrative only; sub-verdicts unchanged).</w:t>
      </w:r>
    </w:p>
    <w:p>
      <w:pPr>
        <w:pStyle w:val="BodyText"/>
      </w:pPr>
      <w:r>
        <w:rPr>
          <w:b/>
          <w:bCs/>
        </w:rPr>
        <w:t xml:space="preserve">Reproducibility check:</w:t>
      </w:r>
      <w:r>
        <w:t xml:space="preserve"> </w:t>
      </w:r>
      <w:r>
        <w:t xml:space="preserve">re-run and confirm the</w:t>
      </w:r>
      <w:r>
        <w:t xml:space="preserve"> </w:t>
      </w:r>
      <w:r>
        <w:rPr>
          <w:rStyle w:val="VerbatimChar"/>
        </w:rPr>
        <w:t xml:space="preserve">sub_verdicts</w:t>
      </w:r>
      <w:r>
        <w:t xml:space="preserve"> </w:t>
      </w:r>
      <w:r>
        <w:t xml:space="preserve">are byte-identical across runs (this</w:t>
      </w:r>
      <w:r>
        <w:t xml:space="preserve"> </w:t>
      </w:r>
      <w:r>
        <w:t xml:space="preserve">is verified — the deterministic spine is stable). The</w:t>
      </w:r>
      <w:r>
        <w:t xml:space="preserve"> </w:t>
      </w:r>
      <w:r>
        <w:rPr>
          <w:rStyle w:val="VerbatimChar"/>
        </w:rPr>
        <w:t xml:space="preserve">_prompt_hash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yet</w:t>
      </w:r>
      <w:r>
        <w:t xml:space="preserve"> </w:t>
      </w:r>
      <w:r>
        <w:t xml:space="preserve">guaranteed stable</w:t>
      </w:r>
      <w:r>
        <w:t xml:space="preserve"> </w:t>
      </w:r>
      <w:r>
        <w:t xml:space="preserve">across process launches (see §9). The LLM narrative itself is expected to vary run-to-run — that's why</w:t>
      </w:r>
      <w:r>
        <w:t xml:space="preserve"> </w:t>
      </w:r>
      <w:r>
        <w:t xml:space="preserve">the tagging + hash exist.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2026-07-14T01:51:34Z</dcterms:created>
  <dcterms:modified xsi:type="dcterms:W3CDTF">2026-07-14T01:51:34Z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