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8ABEB" w14:textId="47B0CAC8" w:rsidR="0021017A" w:rsidRDefault="001A3DF4" w:rsidP="00134207">
      <w:pPr>
        <w:jc w:val="both"/>
        <w:rPr>
          <w:b/>
          <w:bCs w:val="0"/>
          <w:sz w:val="28"/>
          <w:szCs w:val="28"/>
        </w:rPr>
      </w:pPr>
      <w:r>
        <w:rPr>
          <w:b/>
          <w:bCs w:val="0"/>
          <w:sz w:val="28"/>
          <w:szCs w:val="28"/>
        </w:rPr>
        <w:t xml:space="preserve">Reduced Order </w:t>
      </w:r>
      <w:r w:rsidR="001E2A65">
        <w:rPr>
          <w:b/>
          <w:bCs w:val="0"/>
          <w:sz w:val="28"/>
          <w:szCs w:val="28"/>
        </w:rPr>
        <w:t xml:space="preserve">Thermal </w:t>
      </w:r>
      <w:r>
        <w:rPr>
          <w:b/>
          <w:bCs w:val="0"/>
          <w:sz w:val="28"/>
          <w:szCs w:val="28"/>
        </w:rPr>
        <w:t>Model</w:t>
      </w:r>
      <w:r w:rsidR="0021017A">
        <w:rPr>
          <w:b/>
          <w:bCs w:val="0"/>
          <w:sz w:val="28"/>
          <w:szCs w:val="28"/>
        </w:rPr>
        <w:t xml:space="preserve"> for the </w:t>
      </w:r>
      <w:r w:rsidR="009167D6">
        <w:rPr>
          <w:b/>
          <w:bCs w:val="0"/>
          <w:sz w:val="28"/>
          <w:szCs w:val="28"/>
        </w:rPr>
        <w:t>“</w:t>
      </w:r>
      <w:r w:rsidR="0021017A">
        <w:rPr>
          <w:b/>
          <w:bCs w:val="0"/>
          <w:sz w:val="28"/>
          <w:szCs w:val="28"/>
        </w:rPr>
        <w:t>Varennes Library</w:t>
      </w:r>
      <w:r w:rsidR="009167D6">
        <w:rPr>
          <w:b/>
          <w:bCs w:val="0"/>
          <w:sz w:val="28"/>
          <w:szCs w:val="28"/>
        </w:rPr>
        <w:t>”</w:t>
      </w:r>
    </w:p>
    <w:p w14:paraId="25DE4F8F" w14:textId="54824E13" w:rsidR="0021017A" w:rsidRDefault="0021017A" w:rsidP="00134207">
      <w:pPr>
        <w:jc w:val="both"/>
        <w:rPr>
          <w:b/>
          <w:bCs w:val="0"/>
          <w:i/>
          <w:iCs/>
        </w:rPr>
      </w:pPr>
      <w:r w:rsidRPr="0021017A">
        <w:rPr>
          <w:i/>
          <w:iCs/>
        </w:rPr>
        <w:t>Anthony Maturo</w:t>
      </w:r>
      <w:r w:rsidRPr="0021017A">
        <w:rPr>
          <w:b/>
          <w:bCs w:val="0"/>
          <w:i/>
          <w:iCs/>
        </w:rPr>
        <w:t xml:space="preserve"> </w:t>
      </w:r>
    </w:p>
    <w:p w14:paraId="403D3401" w14:textId="77777777" w:rsidR="004B6837" w:rsidRPr="0021017A" w:rsidRDefault="004B6837" w:rsidP="00134207">
      <w:pPr>
        <w:jc w:val="both"/>
        <w:rPr>
          <w:b/>
          <w:bCs w:val="0"/>
          <w:i/>
          <w:iCs/>
        </w:rPr>
      </w:pPr>
    </w:p>
    <w:p w14:paraId="744032F6" w14:textId="4C59A366" w:rsidR="009D66BF" w:rsidRDefault="00F0773A" w:rsidP="00134207">
      <w:pPr>
        <w:jc w:val="both"/>
      </w:pPr>
      <w:r w:rsidRPr="00D91DBF">
        <w:t xml:space="preserve">This chapter describes the modelling approach established to create a reduced order model </w:t>
      </w:r>
      <w:r w:rsidR="00972A66">
        <w:t>to study the thermal response of</w:t>
      </w:r>
      <w:r w:rsidRPr="00D91DBF">
        <w:t xml:space="preserve"> the Varennes Library. The developed model give</w:t>
      </w:r>
      <w:r w:rsidR="00134207" w:rsidRPr="00D91DBF">
        <w:t>s</w:t>
      </w:r>
      <w:r w:rsidRPr="00D91DBF">
        <w:t xml:space="preserve"> information on the main thermal dynamic of the building, accounting for </w:t>
      </w:r>
      <w:r w:rsidR="00DF3DD6" w:rsidRPr="00D91DBF">
        <w:t>radiant and convective heating</w:t>
      </w:r>
      <w:r w:rsidRPr="00D91DBF">
        <w:t xml:space="preserve">. The </w:t>
      </w:r>
      <w:r w:rsidR="00041527">
        <w:t>chapter</w:t>
      </w:r>
      <w:r w:rsidR="00134207" w:rsidRPr="00D91DBF">
        <w:t xml:space="preserve"> is divided in three main parts</w:t>
      </w:r>
      <w:r w:rsidR="009D66BF">
        <w:t xml:space="preserve"> or sections</w:t>
      </w:r>
      <w:r w:rsidR="00041527">
        <w:t>.</w:t>
      </w:r>
      <w:r w:rsidR="00134207" w:rsidRPr="00D91DBF">
        <w:t xml:space="preserve"> </w:t>
      </w:r>
    </w:p>
    <w:p w14:paraId="1812654D" w14:textId="77777777" w:rsidR="009D66BF" w:rsidRDefault="00134207" w:rsidP="00134207">
      <w:pPr>
        <w:jc w:val="both"/>
      </w:pPr>
      <w:r w:rsidRPr="00D91DBF">
        <w:t xml:space="preserve">Section 1 refers to the </w:t>
      </w:r>
      <w:r w:rsidR="002B58BD" w:rsidRPr="00D91DBF">
        <w:t>preliminary</w:t>
      </w:r>
      <w:r w:rsidR="009D66BF">
        <w:t xml:space="preserve"> data</w:t>
      </w:r>
      <w:r w:rsidR="00F0773A" w:rsidRPr="00D91DBF">
        <w:t xml:space="preserve"> analysis, </w:t>
      </w:r>
      <w:r w:rsidR="00F81DAE" w:rsidRPr="00D91DBF">
        <w:t xml:space="preserve">which </w:t>
      </w:r>
      <w:r w:rsidR="009D66BF">
        <w:t>deals with</w:t>
      </w:r>
      <w:r w:rsidR="00F81DAE" w:rsidRPr="00D91DBF">
        <w:t xml:space="preserve"> the difficulties over the modelling for this type of building</w:t>
      </w:r>
      <w:r w:rsidR="009D66BF">
        <w:t>. It considers</w:t>
      </w:r>
      <w:r w:rsidR="00F81DAE" w:rsidRPr="00D91DBF">
        <w:t xml:space="preserve"> the importance of the mechanical system and the temperature trends</w:t>
      </w:r>
      <w:r w:rsidR="008D30FC">
        <w:t xml:space="preserve"> over the definition of the model. </w:t>
      </w:r>
    </w:p>
    <w:p w14:paraId="6158AAD2" w14:textId="77777777" w:rsidR="009D66BF" w:rsidRDefault="00134207" w:rsidP="00134207">
      <w:pPr>
        <w:jc w:val="both"/>
      </w:pPr>
      <w:r w:rsidRPr="00D91DBF">
        <w:t xml:space="preserve">Section 2 describes the </w:t>
      </w:r>
      <w:r w:rsidR="00F0773A" w:rsidRPr="00D91DBF">
        <w:t xml:space="preserve">modelling approach, </w:t>
      </w:r>
      <w:r w:rsidR="00F81DAE" w:rsidRPr="00D91DBF">
        <w:t>which introduces the methods used to characterize the thermal dynamic of the building</w:t>
      </w:r>
      <w:r w:rsidRPr="00D91DBF">
        <w:t xml:space="preserve">. </w:t>
      </w:r>
    </w:p>
    <w:p w14:paraId="4E841A9F" w14:textId="14C4EA2E" w:rsidR="00622022" w:rsidRPr="00D91DBF" w:rsidRDefault="00134207" w:rsidP="00134207">
      <w:pPr>
        <w:jc w:val="both"/>
      </w:pPr>
      <w:r w:rsidRPr="00D91DBF">
        <w:t xml:space="preserve">Finally, Section 3 describes the </w:t>
      </w:r>
      <w:r w:rsidR="00F0773A" w:rsidRPr="00D91DBF">
        <w:t>calibration and validation</w:t>
      </w:r>
      <w:r w:rsidRPr="00D91DBF">
        <w:t xml:space="preserve"> of the model</w:t>
      </w:r>
      <w:r w:rsidR="00F81DAE" w:rsidRPr="00D91DBF">
        <w:t xml:space="preserve"> </w:t>
      </w:r>
      <w:r w:rsidRPr="00D91DBF">
        <w:t>and</w:t>
      </w:r>
      <w:r w:rsidR="00F81DAE" w:rsidRPr="00D91DBF">
        <w:t xml:space="preserve"> </w:t>
      </w:r>
      <w:r w:rsidRPr="00D91DBF">
        <w:t>deals with</w:t>
      </w:r>
      <w:r w:rsidR="00F81DAE" w:rsidRPr="00D91DBF">
        <w:t xml:space="preserve"> the </w:t>
      </w:r>
      <w:r w:rsidRPr="00D91DBF">
        <w:t>methodology</w:t>
      </w:r>
      <w:r w:rsidR="00F81DAE" w:rsidRPr="00D91DBF">
        <w:t xml:space="preserve"> t</w:t>
      </w:r>
      <w:r w:rsidRPr="00D91DBF">
        <w:t>hat</w:t>
      </w:r>
      <w:r w:rsidR="00F81DAE" w:rsidRPr="00D91DBF">
        <w:t xml:space="preserve"> provide</w:t>
      </w:r>
      <w:r w:rsidRPr="00D91DBF">
        <w:t>s</w:t>
      </w:r>
      <w:r w:rsidR="00F81DAE" w:rsidRPr="00D91DBF">
        <w:t xml:space="preserve"> a reliable model w</w:t>
      </w:r>
      <w:r w:rsidRPr="00D91DBF">
        <w:t>ith</w:t>
      </w:r>
      <w:r w:rsidR="00F81DAE" w:rsidRPr="00D91DBF">
        <w:t xml:space="preserve"> prediction </w:t>
      </w:r>
      <w:r w:rsidRPr="00D91DBF">
        <w:t xml:space="preserve">capabilities </w:t>
      </w:r>
      <w:r w:rsidR="00F81DAE" w:rsidRPr="00D91DBF">
        <w:t xml:space="preserve">of </w:t>
      </w:r>
      <w:r w:rsidRPr="00D91DBF">
        <w:t>24</w:t>
      </w:r>
      <w:r w:rsidR="00F81DAE" w:rsidRPr="00D91DBF">
        <w:t xml:space="preserve"> hours ahead</w:t>
      </w:r>
      <w:r w:rsidR="00F0773A" w:rsidRPr="00D91DBF">
        <w:t>.</w:t>
      </w:r>
    </w:p>
    <w:p w14:paraId="7CB9A2AA" w14:textId="77777777" w:rsidR="00622022" w:rsidRPr="00D91DBF" w:rsidRDefault="00622022" w:rsidP="00622022">
      <w:pPr>
        <w:jc w:val="both"/>
      </w:pPr>
    </w:p>
    <w:p w14:paraId="243E3276" w14:textId="7531FB8C" w:rsidR="002E169A" w:rsidRPr="00D91DBF" w:rsidRDefault="002B58BD" w:rsidP="00622022">
      <w:pPr>
        <w:pStyle w:val="Paragrafoelenco"/>
        <w:numPr>
          <w:ilvl w:val="0"/>
          <w:numId w:val="7"/>
        </w:numPr>
        <w:jc w:val="both"/>
      </w:pPr>
      <w:r w:rsidRPr="00D91DBF">
        <w:rPr>
          <w:b/>
          <w:bCs w:val="0"/>
        </w:rPr>
        <w:t>Preliminary</w:t>
      </w:r>
      <w:r w:rsidR="002E169A" w:rsidRPr="00D91DBF">
        <w:rPr>
          <w:b/>
          <w:bCs w:val="0"/>
        </w:rPr>
        <w:t xml:space="preserve"> analysis</w:t>
      </w:r>
    </w:p>
    <w:p w14:paraId="2A71143E" w14:textId="37F8F148" w:rsidR="0002527F" w:rsidRPr="00D91DBF" w:rsidRDefault="002C2E2A" w:rsidP="002B58BD">
      <w:pPr>
        <w:jc w:val="both"/>
      </w:pPr>
      <w:r w:rsidRPr="00D91DBF">
        <w:t xml:space="preserve">The Varennes Library is an institutional building characterized by four geothermal heat pumps, building integrated thermal </w:t>
      </w:r>
      <w:proofErr w:type="gramStart"/>
      <w:r w:rsidRPr="00D91DBF">
        <w:t>photovoltaics</w:t>
      </w:r>
      <w:proofErr w:type="gramEnd"/>
      <w:r w:rsidRPr="00D91DBF">
        <w:t xml:space="preserve"> and building integrated photovoltaics, a dedicated outdoor AHU, floor heating systems, displaced ceiling and floor ventilation, and localized fan coils. The </w:t>
      </w:r>
      <w:r w:rsidR="007074E4" w:rsidRPr="00D91DBF">
        <w:t xml:space="preserve">goal of this section is to establish </w:t>
      </w:r>
      <w:r w:rsidR="006B5C0D" w:rsidRPr="00D91DBF">
        <w:t xml:space="preserve">some preliminary insight that facilitates the choice of the type of </w:t>
      </w:r>
      <w:r w:rsidR="00972A66">
        <w:t xml:space="preserve">thermal </w:t>
      </w:r>
      <w:r w:rsidR="006B5C0D" w:rsidRPr="00D91DBF">
        <w:t>model and its detail</w:t>
      </w:r>
      <w:r w:rsidR="007074E4" w:rsidRPr="00D91DBF">
        <w:t>.</w:t>
      </w:r>
      <w:r w:rsidR="008A7500" w:rsidRPr="00D91DBF">
        <w:t xml:space="preserve"> </w:t>
      </w:r>
    </w:p>
    <w:p w14:paraId="4E46B3AE" w14:textId="271B5FB1" w:rsidR="002B58BD" w:rsidRPr="00D91DBF" w:rsidRDefault="000909A6" w:rsidP="002B58BD">
      <w:pPr>
        <w:jc w:val="both"/>
      </w:pPr>
      <w:r w:rsidRPr="00D91DBF">
        <w:rPr>
          <w:rFonts w:eastAsiaTheme="minorEastAsia"/>
          <w:lang w:val="en-US"/>
        </w:rPr>
        <w:t xml:space="preserve">Several </w:t>
      </w:r>
      <w:r w:rsidR="002B58BD" w:rsidRPr="00D91DBF">
        <w:rPr>
          <w:rFonts w:eastAsiaTheme="minorEastAsia"/>
          <w:lang w:val="en-US"/>
        </w:rPr>
        <w:t xml:space="preserve">difficulties </w:t>
      </w:r>
      <w:r w:rsidRPr="00D91DBF">
        <w:rPr>
          <w:rFonts w:eastAsiaTheme="minorEastAsia"/>
          <w:lang w:val="en-US"/>
        </w:rPr>
        <w:t>affect</w:t>
      </w:r>
      <w:r w:rsidR="002B58BD" w:rsidRPr="00D91DBF">
        <w:rPr>
          <w:rFonts w:eastAsiaTheme="minorEastAsia"/>
          <w:lang w:val="en-US"/>
        </w:rPr>
        <w:t xml:space="preserve"> the definition of </w:t>
      </w:r>
      <w:r w:rsidRPr="00D91DBF">
        <w:rPr>
          <w:rFonts w:eastAsiaTheme="minorEastAsia"/>
          <w:lang w:val="en-US"/>
        </w:rPr>
        <w:t>a</w:t>
      </w:r>
      <w:r w:rsidR="002B58BD" w:rsidRPr="00D91DBF">
        <w:rPr>
          <w:rFonts w:eastAsiaTheme="minorEastAsia"/>
          <w:lang w:val="en-US"/>
        </w:rPr>
        <w:t xml:space="preserve"> proper model to evaluate the energy </w:t>
      </w:r>
      <w:r w:rsidRPr="00D91DBF">
        <w:rPr>
          <w:rFonts w:eastAsiaTheme="minorEastAsia"/>
          <w:lang w:val="en-US"/>
        </w:rPr>
        <w:t>load</w:t>
      </w:r>
      <w:r w:rsidR="002B58BD" w:rsidRPr="00D91DBF">
        <w:rPr>
          <w:rFonts w:eastAsiaTheme="minorEastAsia"/>
          <w:lang w:val="en-US"/>
        </w:rPr>
        <w:t xml:space="preserve"> of </w:t>
      </w:r>
      <w:r w:rsidR="00846A84" w:rsidRPr="00D91DBF">
        <w:rPr>
          <w:rFonts w:eastAsiaTheme="minorEastAsia"/>
          <w:lang w:val="en-US"/>
        </w:rPr>
        <w:t>this type of building</w:t>
      </w:r>
      <w:r w:rsidR="002B58BD" w:rsidRPr="00D91DBF">
        <w:rPr>
          <w:rFonts w:eastAsiaTheme="minorEastAsia"/>
          <w:lang w:val="en-US"/>
        </w:rPr>
        <w:t xml:space="preserve">. </w:t>
      </w:r>
      <w:r w:rsidRPr="00D91DBF">
        <w:rPr>
          <w:rFonts w:eastAsiaTheme="minorEastAsia"/>
          <w:lang w:val="en-US"/>
        </w:rPr>
        <w:t xml:space="preserve">Hence, it is necessary </w:t>
      </w:r>
      <w:r w:rsidR="002B58BD" w:rsidRPr="00D91DBF">
        <w:rPr>
          <w:rFonts w:eastAsiaTheme="minorEastAsia"/>
          <w:lang w:val="en-US"/>
        </w:rPr>
        <w:t xml:space="preserve">to </w:t>
      </w:r>
      <w:r w:rsidR="00846A84" w:rsidRPr="00D91DBF">
        <w:rPr>
          <w:rFonts w:eastAsiaTheme="minorEastAsia"/>
          <w:lang w:val="en-US"/>
        </w:rPr>
        <w:t xml:space="preserve">introduce </w:t>
      </w:r>
      <w:r w:rsidR="002B58BD" w:rsidRPr="00D91DBF">
        <w:rPr>
          <w:rFonts w:eastAsiaTheme="minorEastAsia"/>
          <w:lang w:val="en-US"/>
        </w:rPr>
        <w:t xml:space="preserve">the following </w:t>
      </w:r>
      <w:r w:rsidR="00846A84" w:rsidRPr="00D91DBF">
        <w:rPr>
          <w:rFonts w:eastAsiaTheme="minorEastAsia"/>
          <w:lang w:val="en-US"/>
        </w:rPr>
        <w:t>concepts for the model definition</w:t>
      </w:r>
      <w:r w:rsidR="002B58BD" w:rsidRPr="00D91DBF">
        <w:rPr>
          <w:rFonts w:eastAsiaTheme="minorEastAsia"/>
          <w:lang w:val="en-US"/>
        </w:rPr>
        <w:t>:</w:t>
      </w:r>
    </w:p>
    <w:p w14:paraId="4788512B" w14:textId="1EE86700" w:rsidR="00DC40A6" w:rsidRPr="00D91DBF" w:rsidRDefault="002D707D" w:rsidP="004D47CB">
      <w:pPr>
        <w:pStyle w:val="Paragrafoelenco"/>
        <w:numPr>
          <w:ilvl w:val="0"/>
          <w:numId w:val="4"/>
        </w:numPr>
        <w:jc w:val="both"/>
        <w:rPr>
          <w:rFonts w:eastAsiaTheme="minorEastAsia"/>
          <w:lang w:val="en-US"/>
        </w:rPr>
      </w:pPr>
      <w:r w:rsidRPr="00D91DBF">
        <w:rPr>
          <w:rFonts w:eastAsiaTheme="minorEastAsia"/>
          <w:i/>
          <w:iCs/>
          <w:lang w:val="en-US"/>
        </w:rPr>
        <w:t>T</w:t>
      </w:r>
      <w:r w:rsidR="002B58BD" w:rsidRPr="00D91DBF">
        <w:rPr>
          <w:rFonts w:eastAsiaTheme="minorEastAsia"/>
          <w:i/>
          <w:iCs/>
          <w:lang w:val="en-US"/>
        </w:rPr>
        <w:t>emperature trend for each thermal zone</w:t>
      </w:r>
      <w:r w:rsidR="00B467CE" w:rsidRPr="00D91DBF">
        <w:rPr>
          <w:rFonts w:eastAsiaTheme="minorEastAsia"/>
          <w:lang w:val="en-US"/>
        </w:rPr>
        <w:t>:</w:t>
      </w:r>
      <w:r w:rsidR="004D47CB" w:rsidRPr="00D91DBF">
        <w:rPr>
          <w:rFonts w:eastAsiaTheme="minorEastAsia"/>
          <w:lang w:val="en-US"/>
        </w:rPr>
        <w:t xml:space="preserve"> </w:t>
      </w:r>
      <w:r w:rsidR="00B467CE" w:rsidRPr="00D91DBF">
        <w:rPr>
          <w:rFonts w:eastAsiaTheme="minorEastAsia"/>
          <w:lang w:val="en-US"/>
        </w:rPr>
        <w:t>a</w:t>
      </w:r>
      <w:r w:rsidR="004D47CB" w:rsidRPr="00D91DBF">
        <w:rPr>
          <w:rFonts w:eastAsiaTheme="minorEastAsia"/>
          <w:lang w:val="en-US"/>
        </w:rPr>
        <w:t xml:space="preserve">fter an extensive study of the main temperature trends inside the library, </w:t>
      </w:r>
      <w:r w:rsidR="002C2E2A" w:rsidRPr="00D91DBF">
        <w:rPr>
          <w:rFonts w:eastAsiaTheme="minorEastAsia"/>
          <w:lang w:val="en-US"/>
        </w:rPr>
        <w:t xml:space="preserve">it </w:t>
      </w:r>
      <w:r w:rsidR="004D47CB" w:rsidRPr="00D91DBF">
        <w:rPr>
          <w:rFonts w:eastAsiaTheme="minorEastAsia"/>
          <w:lang w:val="en-US"/>
        </w:rPr>
        <w:t>was</w:t>
      </w:r>
      <w:r w:rsidR="002C2E2A" w:rsidRPr="00D91DBF">
        <w:rPr>
          <w:rFonts w:eastAsiaTheme="minorEastAsia"/>
          <w:lang w:val="en-US"/>
        </w:rPr>
        <w:t xml:space="preserve"> possible to identify two main thermal zones for the first floor and one main thermal zone for the second floor.</w:t>
      </w:r>
      <w:r w:rsidR="00B502D6" w:rsidRPr="00D91DBF">
        <w:rPr>
          <w:rFonts w:eastAsiaTheme="minorEastAsia"/>
          <w:lang w:val="en-US"/>
        </w:rPr>
        <w:t xml:space="preserve"> T</w:t>
      </w:r>
      <w:r w:rsidR="00B467CE" w:rsidRPr="00D91DBF">
        <w:rPr>
          <w:rFonts w:eastAsiaTheme="minorEastAsia"/>
          <w:lang w:val="en-US"/>
        </w:rPr>
        <w:t xml:space="preserve">his </w:t>
      </w:r>
      <w:r w:rsidR="00B502D6" w:rsidRPr="00D91DBF">
        <w:rPr>
          <w:rFonts w:eastAsiaTheme="minorEastAsia"/>
          <w:lang w:val="en-US"/>
        </w:rPr>
        <w:t>result</w:t>
      </w:r>
      <w:r w:rsidR="00B467CE" w:rsidRPr="00D91DBF">
        <w:rPr>
          <w:rFonts w:eastAsiaTheme="minorEastAsia"/>
          <w:lang w:val="en-US"/>
        </w:rPr>
        <w:t xml:space="preserve"> is justified by the</w:t>
      </w:r>
      <w:r w:rsidR="00755B73" w:rsidRPr="00D91DBF">
        <w:rPr>
          <w:rFonts w:eastAsiaTheme="minorEastAsia"/>
          <w:lang w:val="en-US"/>
        </w:rPr>
        <w:t xml:space="preserve"> presence of large open space areas inside the library.</w:t>
      </w:r>
      <w:r w:rsidR="00B502D6" w:rsidRPr="00D91DBF">
        <w:rPr>
          <w:rFonts w:eastAsiaTheme="minorEastAsia"/>
          <w:lang w:val="en-US"/>
        </w:rPr>
        <w:t xml:space="preserve"> This zoning or</w:t>
      </w:r>
      <w:r w:rsidR="00B502D6" w:rsidRPr="00D91DBF">
        <w:rPr>
          <w:rFonts w:eastAsiaTheme="minorEastAsia"/>
        </w:rPr>
        <w:t xml:space="preserve"> aggregation-based methodology is supported by the concept of zone-based models </w:t>
      </w:r>
      <w:r w:rsidR="003A221A" w:rsidRPr="00D91DBF">
        <w:rPr>
          <w:rFonts w:eastAsiaTheme="minorEastAsia"/>
        </w:rPr>
        <w:t>which is commonly adopted by</w:t>
      </w:r>
      <w:r w:rsidR="00B502D6" w:rsidRPr="00D91DBF">
        <w:rPr>
          <w:rFonts w:eastAsiaTheme="minorEastAsia"/>
        </w:rPr>
        <w:t xml:space="preserve"> the HVAC community </w:t>
      </w:r>
      <w:r w:rsidR="00B502D6" w:rsidRPr="00D91DBF">
        <w:rPr>
          <w:rFonts w:eastAsiaTheme="minorEastAsia"/>
        </w:rPr>
        <w:fldChar w:fldCharType="begin"/>
      </w:r>
      <w:r w:rsidR="00B502D6" w:rsidRPr="00D91DBF">
        <w:rPr>
          <w:rFonts w:eastAsiaTheme="minorEastAsia"/>
        </w:rPr>
        <w:instrText xml:space="preserve"> ADDIN EN.CITE &lt;EndNote&gt;&lt;Cite&gt;&lt;Author&gt;Mossolly&lt;/Author&gt;&lt;Year&gt;2009&lt;/Year&gt;&lt;RecNum&gt;63&lt;/RecNum&gt;&lt;DisplayText&gt;[11]&lt;/DisplayText&gt;&lt;record&gt;&lt;rec-number&gt;63&lt;/rec-number&gt;&lt;foreign-keys&gt;&lt;key app="EN" db-id="ssae5s5zisaszcetwro5spd1fz5sx2dd0z5e" timestamp="1686000880"&gt;63&lt;/key&gt;&lt;/foreign-keys&gt;&lt;ref-type name="Journal Article"&gt;17&lt;/ref-type&gt;&lt;contributors&gt;&lt;authors&gt;&lt;author&gt;Mossolly, M&lt;/author&gt;&lt;author&gt;Ghali, K&lt;/author&gt;&lt;author&gt;Ghaddar, N&lt;/author&gt;&lt;/authors&gt;&lt;/contributors&gt;&lt;titles&gt;&lt;title&gt;Optimal control strategy for a multi-zone air conditioning system using a genetic algorithm&lt;/title&gt;&lt;secondary-title&gt;Energy&lt;/secondary-title&gt;&lt;/titles&gt;&lt;periodical&gt;&lt;full-title&gt;Energy&lt;/full-title&gt;&lt;/periodical&gt;&lt;pages&gt;58-66&lt;/pages&gt;&lt;volume&gt;34&lt;/volume&gt;&lt;number&gt;1&lt;/number&gt;&lt;dates&gt;&lt;year&gt;2009&lt;/year&gt;&lt;/dates&gt;&lt;isbn&gt;0360-5442&lt;/isbn&gt;&lt;urls&gt;&lt;/urls&gt;&lt;/record&gt;&lt;/Cite&gt;&lt;/EndNote&gt;</w:instrText>
      </w:r>
      <w:r w:rsidR="00B502D6" w:rsidRPr="00D91DBF">
        <w:rPr>
          <w:rFonts w:eastAsiaTheme="minorEastAsia"/>
        </w:rPr>
        <w:fldChar w:fldCharType="separate"/>
      </w:r>
      <w:r w:rsidR="00B502D6" w:rsidRPr="00D91DBF">
        <w:rPr>
          <w:rFonts w:eastAsiaTheme="minorEastAsia"/>
        </w:rPr>
        <w:t>[11]</w:t>
      </w:r>
      <w:r w:rsidR="00B502D6" w:rsidRPr="00D91DBF">
        <w:rPr>
          <w:rFonts w:eastAsiaTheme="minorEastAsia"/>
          <w:lang w:val="en-US"/>
        </w:rPr>
        <w:fldChar w:fldCharType="end"/>
      </w:r>
      <w:r w:rsidR="00B502D6" w:rsidRPr="00D91DBF">
        <w:rPr>
          <w:rFonts w:eastAsiaTheme="minorEastAsia"/>
          <w:lang w:val="en-US"/>
        </w:rPr>
        <w:t>.</w:t>
      </w:r>
    </w:p>
    <w:p w14:paraId="17FDCB2E" w14:textId="542AE612" w:rsidR="002B58BD" w:rsidRPr="00D91DBF" w:rsidRDefault="002D707D" w:rsidP="002B58BD">
      <w:pPr>
        <w:pStyle w:val="Paragrafoelenco"/>
        <w:numPr>
          <w:ilvl w:val="0"/>
          <w:numId w:val="4"/>
        </w:numPr>
        <w:jc w:val="both"/>
        <w:rPr>
          <w:rFonts w:eastAsiaTheme="minorEastAsia"/>
          <w:lang w:val="en-US"/>
        </w:rPr>
      </w:pPr>
      <w:r w:rsidRPr="00D91DBF">
        <w:rPr>
          <w:rFonts w:eastAsiaTheme="minorEastAsia"/>
          <w:i/>
          <w:iCs/>
          <w:lang w:val="en-US"/>
        </w:rPr>
        <w:t>D</w:t>
      </w:r>
      <w:r w:rsidR="002B58BD" w:rsidRPr="00D91DBF">
        <w:rPr>
          <w:rFonts w:eastAsiaTheme="minorEastAsia"/>
          <w:i/>
          <w:iCs/>
          <w:lang w:val="en-US"/>
        </w:rPr>
        <w:t xml:space="preserve">ifferent </w:t>
      </w:r>
      <w:r w:rsidR="002C2E2A" w:rsidRPr="00D91DBF">
        <w:rPr>
          <w:rFonts w:eastAsiaTheme="minorEastAsia"/>
          <w:i/>
          <w:iCs/>
          <w:lang w:val="en-US"/>
        </w:rPr>
        <w:t xml:space="preserve">boundary conditions affecting the </w:t>
      </w:r>
      <w:r w:rsidR="002B58BD" w:rsidRPr="00D91DBF">
        <w:rPr>
          <w:rFonts w:eastAsiaTheme="minorEastAsia"/>
          <w:i/>
          <w:iCs/>
          <w:lang w:val="en-US"/>
        </w:rPr>
        <w:t>first and second floor</w:t>
      </w:r>
      <w:r w:rsidR="00D26A98" w:rsidRPr="00D91DBF">
        <w:rPr>
          <w:rFonts w:eastAsiaTheme="minorEastAsia"/>
          <w:lang w:val="en-US"/>
        </w:rPr>
        <w:t xml:space="preserve">: the effect of solar radiation is higher for the second </w:t>
      </w:r>
      <w:r w:rsidR="004F19F2" w:rsidRPr="00D91DBF">
        <w:rPr>
          <w:rFonts w:eastAsiaTheme="minorEastAsia"/>
          <w:lang w:val="en-US"/>
        </w:rPr>
        <w:t>floor</w:t>
      </w:r>
      <w:r w:rsidR="003260DA" w:rsidRPr="00D91DBF">
        <w:rPr>
          <w:rFonts w:eastAsiaTheme="minorEastAsia"/>
          <w:lang w:val="en-US"/>
        </w:rPr>
        <w:t>.</w:t>
      </w:r>
      <w:r w:rsidR="00D26A98" w:rsidRPr="00D91DBF">
        <w:rPr>
          <w:rFonts w:eastAsiaTheme="minorEastAsia"/>
          <w:lang w:val="en-US"/>
        </w:rPr>
        <w:t xml:space="preserve"> </w:t>
      </w:r>
      <w:r w:rsidR="003260DA" w:rsidRPr="00D91DBF">
        <w:rPr>
          <w:rFonts w:eastAsiaTheme="minorEastAsia"/>
          <w:lang w:val="en-US"/>
        </w:rPr>
        <w:t>T</w:t>
      </w:r>
      <w:r w:rsidR="00D26A98" w:rsidRPr="00D91DBF">
        <w:rPr>
          <w:rFonts w:eastAsiaTheme="minorEastAsia"/>
          <w:lang w:val="en-US"/>
        </w:rPr>
        <w:t xml:space="preserve">his </w:t>
      </w:r>
      <w:r w:rsidR="00B467CE" w:rsidRPr="00D91DBF">
        <w:rPr>
          <w:rFonts w:eastAsiaTheme="minorEastAsia"/>
          <w:lang w:val="en-US"/>
        </w:rPr>
        <w:t>statement supports the need to distinguish the two floors in the model</w:t>
      </w:r>
      <w:r w:rsidR="00D26A98" w:rsidRPr="00D91DBF">
        <w:rPr>
          <w:rFonts w:eastAsiaTheme="minorEastAsia"/>
          <w:lang w:val="en-US"/>
        </w:rPr>
        <w:t>.</w:t>
      </w:r>
    </w:p>
    <w:p w14:paraId="73720F3F" w14:textId="06FD71BB" w:rsidR="002B58BD" w:rsidRPr="00D91DBF" w:rsidRDefault="00B467CE" w:rsidP="002B58BD">
      <w:pPr>
        <w:pStyle w:val="Paragrafoelenco"/>
        <w:numPr>
          <w:ilvl w:val="0"/>
          <w:numId w:val="4"/>
        </w:numPr>
        <w:jc w:val="both"/>
        <w:rPr>
          <w:rFonts w:eastAsiaTheme="minorEastAsia"/>
          <w:lang w:val="en-US"/>
        </w:rPr>
      </w:pPr>
      <w:r w:rsidRPr="00D91DBF">
        <w:rPr>
          <w:rFonts w:eastAsiaTheme="minorEastAsia"/>
          <w:i/>
          <w:iCs/>
          <w:lang w:val="en-US"/>
        </w:rPr>
        <w:t>M</w:t>
      </w:r>
      <w:r w:rsidR="002B58BD" w:rsidRPr="00D91DBF">
        <w:rPr>
          <w:rFonts w:eastAsiaTheme="minorEastAsia"/>
          <w:i/>
          <w:iCs/>
          <w:lang w:val="en-US"/>
        </w:rPr>
        <w:t>echanical system</w:t>
      </w:r>
      <w:r w:rsidR="002D707D" w:rsidRPr="00D91DBF">
        <w:rPr>
          <w:rFonts w:eastAsiaTheme="minorEastAsia"/>
          <w:lang w:val="en-US"/>
        </w:rPr>
        <w:t>:</w:t>
      </w:r>
      <w:r w:rsidR="002C2E2A" w:rsidRPr="00D91DBF">
        <w:rPr>
          <w:rFonts w:eastAsiaTheme="minorEastAsia"/>
          <w:lang w:val="en-US"/>
        </w:rPr>
        <w:t xml:space="preserve"> </w:t>
      </w:r>
      <w:r w:rsidRPr="00D91DBF">
        <w:rPr>
          <w:rFonts w:eastAsiaTheme="minorEastAsia"/>
          <w:lang w:val="en-US"/>
        </w:rPr>
        <w:t>its</w:t>
      </w:r>
      <w:r w:rsidR="00D26A98" w:rsidRPr="00D91DBF">
        <w:rPr>
          <w:rFonts w:eastAsiaTheme="minorEastAsia"/>
          <w:lang w:val="en-US"/>
        </w:rPr>
        <w:t xml:space="preserve"> schematic</w:t>
      </w:r>
      <w:r w:rsidR="002C2E2A" w:rsidRPr="00D91DBF">
        <w:rPr>
          <w:rFonts w:eastAsiaTheme="minorEastAsia"/>
          <w:lang w:val="en-US"/>
        </w:rPr>
        <w:t xml:space="preserve"> distinguishes dedicated ducts and dampers</w:t>
      </w:r>
      <w:r w:rsidRPr="00D91DBF">
        <w:rPr>
          <w:rFonts w:eastAsiaTheme="minorEastAsia"/>
          <w:lang w:val="en-US"/>
        </w:rPr>
        <w:t xml:space="preserve"> which</w:t>
      </w:r>
      <w:r w:rsidR="002C2E2A" w:rsidRPr="00D91DBF">
        <w:rPr>
          <w:rFonts w:eastAsiaTheme="minorEastAsia"/>
          <w:lang w:val="en-US"/>
        </w:rPr>
        <w:t xml:space="preserve"> control</w:t>
      </w:r>
      <w:r w:rsidRPr="00D91DBF">
        <w:rPr>
          <w:rFonts w:eastAsiaTheme="minorEastAsia"/>
          <w:lang w:val="en-US"/>
        </w:rPr>
        <w:t>s separately</w:t>
      </w:r>
      <w:r w:rsidR="002C2E2A" w:rsidRPr="00D91DBF">
        <w:rPr>
          <w:rFonts w:eastAsiaTheme="minorEastAsia"/>
          <w:lang w:val="en-US"/>
        </w:rPr>
        <w:t xml:space="preserve"> the ventilation at the first and second floors. Also</w:t>
      </w:r>
      <w:r w:rsidR="002D707D" w:rsidRPr="00D91DBF">
        <w:rPr>
          <w:rFonts w:eastAsiaTheme="minorEastAsia"/>
          <w:lang w:val="en-US"/>
        </w:rPr>
        <w:t>,</w:t>
      </w:r>
      <w:r w:rsidR="002C2E2A" w:rsidRPr="00D91DBF">
        <w:rPr>
          <w:rFonts w:eastAsiaTheme="minorEastAsia"/>
          <w:lang w:val="en-US"/>
        </w:rPr>
        <w:t xml:space="preserve"> the location of the floor heating systems and the ventilation</w:t>
      </w:r>
      <w:r w:rsidRPr="00D91DBF">
        <w:rPr>
          <w:rFonts w:eastAsiaTheme="minorEastAsia"/>
          <w:lang w:val="en-US"/>
        </w:rPr>
        <w:t xml:space="preserve"> terminals</w:t>
      </w:r>
      <w:r w:rsidR="002C2E2A" w:rsidRPr="00D91DBF">
        <w:rPr>
          <w:rFonts w:eastAsiaTheme="minorEastAsia"/>
          <w:lang w:val="en-US"/>
        </w:rPr>
        <w:t xml:space="preserve"> changes from first to second floor.</w:t>
      </w:r>
    </w:p>
    <w:p w14:paraId="4FC98D1B" w14:textId="598ADBF1" w:rsidR="002B58BD" w:rsidRPr="00D91DBF" w:rsidRDefault="00AD3868" w:rsidP="002B58BD">
      <w:pPr>
        <w:pStyle w:val="Paragrafoelenco"/>
        <w:numPr>
          <w:ilvl w:val="0"/>
          <w:numId w:val="4"/>
        </w:numPr>
        <w:jc w:val="both"/>
        <w:rPr>
          <w:rFonts w:eastAsiaTheme="minorEastAsia"/>
          <w:lang w:val="en-US"/>
        </w:rPr>
      </w:pPr>
      <w:r w:rsidRPr="00D91DBF">
        <w:rPr>
          <w:rFonts w:eastAsiaTheme="minorEastAsia"/>
          <w:i/>
          <w:iCs/>
          <w:lang w:val="en-US"/>
        </w:rPr>
        <w:lastRenderedPageBreak/>
        <w:t>C</w:t>
      </w:r>
      <w:r w:rsidR="002B58BD" w:rsidRPr="00D91DBF">
        <w:rPr>
          <w:rFonts w:eastAsiaTheme="minorEastAsia"/>
          <w:i/>
          <w:iCs/>
          <w:lang w:val="en-US"/>
        </w:rPr>
        <w:t>ombination of different heating/cooling technologies placed in each thermal zone</w:t>
      </w:r>
      <w:r w:rsidR="00846A84" w:rsidRPr="00D91DBF">
        <w:rPr>
          <w:rFonts w:eastAsiaTheme="minorEastAsia"/>
          <w:lang w:val="en-US"/>
        </w:rPr>
        <w:t>: the developed model must allow the study of the fast and slow thermal response of the building due to the different type of terminals.</w:t>
      </w:r>
    </w:p>
    <w:p w14:paraId="023731D5" w14:textId="3908B29B" w:rsidR="002B58BD" w:rsidRPr="00D91DBF" w:rsidRDefault="002B58BD" w:rsidP="002B58BD">
      <w:pPr>
        <w:jc w:val="both"/>
        <w:rPr>
          <w:rFonts w:eastAsiaTheme="minorEastAsia"/>
          <w:lang w:val="en-AU"/>
        </w:rPr>
      </w:pPr>
      <w:r w:rsidRPr="00D91DBF">
        <w:rPr>
          <w:rFonts w:eastAsiaTheme="minorEastAsia"/>
          <w:lang w:val="en-US"/>
        </w:rPr>
        <w:t xml:space="preserve">These axes </w:t>
      </w:r>
      <w:r w:rsidR="003260DA" w:rsidRPr="00D91DBF">
        <w:rPr>
          <w:rFonts w:eastAsiaTheme="minorEastAsia"/>
          <w:lang w:val="en-US"/>
        </w:rPr>
        <w:t>were</w:t>
      </w:r>
      <w:r w:rsidRPr="00D91DBF">
        <w:rPr>
          <w:rFonts w:eastAsiaTheme="minorEastAsia"/>
          <w:lang w:val="en-US"/>
        </w:rPr>
        <w:t xml:space="preserve"> considered during the modelling of the building</w:t>
      </w:r>
      <w:r w:rsidRPr="00D91DBF">
        <w:rPr>
          <w:rFonts w:eastAsiaTheme="minorEastAsia"/>
          <w:lang w:val="en-AU"/>
        </w:rPr>
        <w:t xml:space="preserve">, identifying the following thermal zones and main features of the building (from the floor heating to the ventilation). The aggregation of </w:t>
      </w:r>
      <w:r w:rsidRPr="00D91DBF">
        <w:rPr>
          <w:rFonts w:eastAsiaTheme="minorEastAsia"/>
          <w:lang w:val="en-US"/>
        </w:rPr>
        <w:t>thermal</w:t>
      </w:r>
      <w:r w:rsidRPr="00D91DBF">
        <w:rPr>
          <w:rFonts w:eastAsiaTheme="minorEastAsia"/>
          <w:lang w:val="en-AU"/>
        </w:rPr>
        <w:t xml:space="preserve"> zones in an open space environment allows a </w:t>
      </w:r>
      <w:r w:rsidR="00B84205" w:rsidRPr="00D91DBF">
        <w:rPr>
          <w:rFonts w:eastAsiaTheme="minorEastAsia"/>
          <w:lang w:val="en-AU"/>
        </w:rPr>
        <w:t>simple and accurate</w:t>
      </w:r>
      <w:r w:rsidRPr="00D91DBF">
        <w:rPr>
          <w:rFonts w:eastAsiaTheme="minorEastAsia"/>
          <w:lang w:val="en-AU"/>
        </w:rPr>
        <w:t xml:space="preserve"> evaluation of the temperatures and energy levels requested</w:t>
      </w:r>
      <w:r w:rsidR="00B84205" w:rsidRPr="00D91DBF">
        <w:rPr>
          <w:rFonts w:eastAsiaTheme="minorEastAsia"/>
          <w:lang w:val="en-AU"/>
        </w:rPr>
        <w:t xml:space="preserve"> by the building</w:t>
      </w:r>
      <w:r w:rsidRPr="00D91DBF">
        <w:rPr>
          <w:rFonts w:eastAsiaTheme="minorEastAsia"/>
          <w:lang w:val="en-AU"/>
        </w:rPr>
        <w:t xml:space="preserve">. </w:t>
      </w:r>
      <w:r w:rsidR="00B84205" w:rsidRPr="00D91DBF">
        <w:rPr>
          <w:rFonts w:eastAsiaTheme="minorEastAsia"/>
          <w:lang w:val="en-AU"/>
        </w:rPr>
        <w:t>With this hypothesis</w:t>
      </w:r>
      <w:r w:rsidRPr="00D91DBF">
        <w:rPr>
          <w:rFonts w:eastAsiaTheme="minorEastAsia"/>
          <w:lang w:val="en-AU"/>
        </w:rPr>
        <w:t xml:space="preserve">, the uncertainty due to the thermal zone interaction is </w:t>
      </w:r>
      <w:r w:rsidR="003408B0">
        <w:rPr>
          <w:rFonts w:eastAsiaTheme="minorEastAsia"/>
          <w:lang w:val="en-AU"/>
        </w:rPr>
        <w:t>limited</w:t>
      </w:r>
      <w:r w:rsidRPr="00D91DBF">
        <w:rPr>
          <w:rFonts w:eastAsiaTheme="minorEastAsia"/>
          <w:lang w:val="en-AU"/>
        </w:rPr>
        <w:t>.</w:t>
      </w:r>
    </w:p>
    <w:p w14:paraId="654D894A" w14:textId="002E40ED" w:rsidR="003260DA" w:rsidRPr="00D91DBF" w:rsidRDefault="002B58BD" w:rsidP="002B58BD">
      <w:pPr>
        <w:jc w:val="both"/>
        <w:rPr>
          <w:rFonts w:eastAsiaTheme="minorEastAsia"/>
          <w:lang w:val="en-US"/>
        </w:rPr>
      </w:pPr>
      <w:r w:rsidRPr="00D91DBF">
        <w:rPr>
          <w:rFonts w:eastAsiaTheme="minorEastAsia"/>
          <w:lang w:val="en-US"/>
        </w:rPr>
        <w:t>Given the open space zones, consider</w:t>
      </w:r>
      <w:r w:rsidR="003260DA" w:rsidRPr="00D91DBF">
        <w:rPr>
          <w:rFonts w:eastAsiaTheme="minorEastAsia"/>
          <w:lang w:val="en-US"/>
        </w:rPr>
        <w:t>ing</w:t>
      </w:r>
      <w:r w:rsidRPr="00D91DBF">
        <w:rPr>
          <w:rFonts w:eastAsiaTheme="minorEastAsia"/>
          <w:lang w:val="en-US"/>
        </w:rPr>
        <w:t xml:space="preserve"> each zone temperature uniformly distributed vertically and horizontally</w:t>
      </w:r>
      <w:r w:rsidR="003260DA" w:rsidRPr="00D91DBF">
        <w:rPr>
          <w:rFonts w:eastAsiaTheme="minorEastAsia"/>
          <w:lang w:val="en-US"/>
        </w:rPr>
        <w:t xml:space="preserve"> is a strong hypothesis</w:t>
      </w:r>
      <w:r w:rsidRPr="00D91DBF">
        <w:rPr>
          <w:rFonts w:eastAsiaTheme="minorEastAsia"/>
          <w:lang w:val="en-US"/>
        </w:rPr>
        <w:t xml:space="preserve">. </w:t>
      </w:r>
      <w:r w:rsidR="003260DA" w:rsidRPr="00D91DBF">
        <w:rPr>
          <w:rFonts w:eastAsiaTheme="minorEastAsia"/>
          <w:lang w:val="en-US"/>
        </w:rPr>
        <w:t>Therefore, the different temperature trends, obtained from thermostats located in different position inside the library, showed a small deviation (0.5-1°C). This led to the selection of two thermal zones for the first floor</w:t>
      </w:r>
      <w:r w:rsidR="001E4A3B" w:rsidRPr="00D91DBF">
        <w:rPr>
          <w:rFonts w:eastAsiaTheme="minorEastAsia"/>
          <w:lang w:val="en-US"/>
        </w:rPr>
        <w:t>.</w:t>
      </w:r>
    </w:p>
    <w:p w14:paraId="1A7F76DF" w14:textId="4FC797B6" w:rsidR="002B58BD" w:rsidRPr="00D91DBF" w:rsidRDefault="001E4A3B" w:rsidP="002B58BD">
      <w:pPr>
        <w:jc w:val="both"/>
        <w:rPr>
          <w:rFonts w:eastAsiaTheme="minorEastAsia"/>
          <w:lang w:val="en-US"/>
        </w:rPr>
      </w:pPr>
      <w:r w:rsidRPr="00D91DBF">
        <w:rPr>
          <w:rFonts w:eastAsiaTheme="minorEastAsia"/>
          <w:lang w:val="en-US"/>
        </w:rPr>
        <w:t>At the same time, more</w:t>
      </w:r>
      <w:r w:rsidR="003260DA" w:rsidRPr="00D91DBF">
        <w:rPr>
          <w:rFonts w:eastAsiaTheme="minorEastAsia"/>
          <w:lang w:val="en-US"/>
        </w:rPr>
        <w:t xml:space="preserve"> concern is </w:t>
      </w:r>
      <w:r w:rsidRPr="00D91DBF">
        <w:rPr>
          <w:rFonts w:eastAsiaTheme="minorEastAsia"/>
          <w:lang w:val="en-US"/>
        </w:rPr>
        <w:t>given</w:t>
      </w:r>
      <w:r w:rsidR="003260DA" w:rsidRPr="00D91DBF">
        <w:rPr>
          <w:rFonts w:eastAsiaTheme="minorEastAsia"/>
          <w:lang w:val="en-US"/>
        </w:rPr>
        <w:t xml:space="preserve"> to the </w:t>
      </w:r>
      <w:r w:rsidR="002B58BD" w:rsidRPr="00D91DBF">
        <w:rPr>
          <w:rFonts w:eastAsiaTheme="minorEastAsia"/>
          <w:lang w:val="en-US"/>
        </w:rPr>
        <w:t>second floor</w:t>
      </w:r>
      <w:r w:rsidR="003260DA" w:rsidRPr="00D91DBF">
        <w:rPr>
          <w:rFonts w:eastAsiaTheme="minorEastAsia"/>
          <w:lang w:val="en-US"/>
        </w:rPr>
        <w:t xml:space="preserve">. This floor </w:t>
      </w:r>
      <w:r w:rsidR="002B58BD" w:rsidRPr="00D91DBF">
        <w:rPr>
          <w:rFonts w:eastAsiaTheme="minorEastAsia"/>
          <w:lang w:val="en-US"/>
        </w:rPr>
        <w:t>is characterized by a higher height</w:t>
      </w:r>
      <w:r w:rsidR="003260DA" w:rsidRPr="00D91DBF">
        <w:rPr>
          <w:rFonts w:eastAsiaTheme="minorEastAsia"/>
          <w:lang w:val="en-US"/>
        </w:rPr>
        <w:t xml:space="preserve"> which </w:t>
      </w:r>
      <w:r w:rsidR="00140CE2">
        <w:rPr>
          <w:rFonts w:eastAsiaTheme="minorEastAsia"/>
          <w:lang w:val="en-US"/>
        </w:rPr>
        <w:t>can cause</w:t>
      </w:r>
      <w:r w:rsidR="002B58BD" w:rsidRPr="00D91DBF">
        <w:rPr>
          <w:rFonts w:eastAsiaTheme="minorEastAsia"/>
          <w:lang w:val="en-US"/>
        </w:rPr>
        <w:t xml:space="preserve"> the problem of vertical gradient. This </w:t>
      </w:r>
      <w:r w:rsidR="003260DA" w:rsidRPr="00D91DBF">
        <w:rPr>
          <w:rFonts w:eastAsiaTheme="minorEastAsia"/>
          <w:lang w:val="en-US"/>
        </w:rPr>
        <w:t>issue</w:t>
      </w:r>
      <w:r w:rsidR="002B58BD" w:rsidRPr="00D91DBF">
        <w:rPr>
          <w:rFonts w:eastAsiaTheme="minorEastAsia"/>
          <w:lang w:val="en-US"/>
        </w:rPr>
        <w:t xml:space="preserve"> is </w:t>
      </w:r>
      <w:r w:rsidR="00B84205" w:rsidRPr="00D91DBF">
        <w:rPr>
          <w:rFonts w:eastAsiaTheme="minorEastAsia"/>
          <w:lang w:val="en-US"/>
        </w:rPr>
        <w:t>partially solved</w:t>
      </w:r>
      <w:r w:rsidR="002B58BD" w:rsidRPr="00D91DBF">
        <w:rPr>
          <w:rFonts w:eastAsiaTheme="minorEastAsia"/>
          <w:lang w:val="en-US"/>
        </w:rPr>
        <w:t xml:space="preserve"> in</w:t>
      </w:r>
      <w:r w:rsidR="00B84205" w:rsidRPr="00D91DBF">
        <w:rPr>
          <w:rFonts w:eastAsiaTheme="minorEastAsia"/>
          <w:lang w:val="en-US"/>
        </w:rPr>
        <w:t>side</w:t>
      </w:r>
      <w:r w:rsidR="002B58BD" w:rsidRPr="00D91DBF">
        <w:rPr>
          <w:rFonts w:eastAsiaTheme="minorEastAsia"/>
          <w:lang w:val="en-US"/>
        </w:rPr>
        <w:t xml:space="preserve"> the building by </w:t>
      </w:r>
      <w:r w:rsidRPr="00D91DBF">
        <w:rPr>
          <w:rFonts w:eastAsiaTheme="minorEastAsia"/>
          <w:lang w:val="en-US"/>
        </w:rPr>
        <w:t>means of</w:t>
      </w:r>
      <w:r w:rsidR="002B58BD" w:rsidRPr="00D91DBF">
        <w:rPr>
          <w:rFonts w:eastAsiaTheme="minorEastAsia"/>
          <w:lang w:val="en-US"/>
        </w:rPr>
        <w:t xml:space="preserve"> </w:t>
      </w:r>
      <w:r w:rsidR="003260DA" w:rsidRPr="00D91DBF">
        <w:rPr>
          <w:rFonts w:eastAsiaTheme="minorEastAsia"/>
          <w:lang w:val="en-US"/>
        </w:rPr>
        <w:t xml:space="preserve">ceiling </w:t>
      </w:r>
      <w:r w:rsidR="002B58BD" w:rsidRPr="00D91DBF">
        <w:rPr>
          <w:rFonts w:eastAsiaTheme="minorEastAsia"/>
          <w:lang w:val="en-US"/>
        </w:rPr>
        <w:t xml:space="preserve">fans </w:t>
      </w:r>
      <w:r w:rsidR="003260DA" w:rsidRPr="00D91DBF">
        <w:rPr>
          <w:rFonts w:eastAsiaTheme="minorEastAsia"/>
          <w:lang w:val="en-US"/>
        </w:rPr>
        <w:t>which</w:t>
      </w:r>
      <w:r w:rsidR="002B58BD" w:rsidRPr="00D91DBF">
        <w:rPr>
          <w:rFonts w:eastAsiaTheme="minorEastAsia"/>
          <w:lang w:val="en-US"/>
        </w:rPr>
        <w:t xml:space="preserve"> force the heated air in the occupied area. </w:t>
      </w:r>
      <w:r w:rsidR="00B84205" w:rsidRPr="00D91DBF">
        <w:rPr>
          <w:rFonts w:eastAsiaTheme="minorEastAsia"/>
          <w:lang w:val="en-US"/>
        </w:rPr>
        <w:t xml:space="preserve">The combination of these fans </w:t>
      </w:r>
      <w:r w:rsidR="003260DA" w:rsidRPr="00D91DBF">
        <w:rPr>
          <w:rFonts w:eastAsiaTheme="minorEastAsia"/>
          <w:lang w:val="en-US"/>
        </w:rPr>
        <w:t>with</w:t>
      </w:r>
      <w:r w:rsidR="00B84205" w:rsidRPr="00D91DBF">
        <w:rPr>
          <w:rFonts w:eastAsiaTheme="minorEastAsia"/>
          <w:lang w:val="en-US"/>
        </w:rPr>
        <w:t xml:space="preserve"> the radiant </w:t>
      </w:r>
      <w:r w:rsidR="003260DA" w:rsidRPr="00D91DBF">
        <w:rPr>
          <w:rFonts w:eastAsiaTheme="minorEastAsia"/>
          <w:lang w:val="en-US"/>
        </w:rPr>
        <w:t>terminals</w:t>
      </w:r>
      <w:r w:rsidR="00B84205" w:rsidRPr="00D91DBF">
        <w:rPr>
          <w:rFonts w:eastAsiaTheme="minorEastAsia"/>
          <w:lang w:val="en-US"/>
        </w:rPr>
        <w:t xml:space="preserve"> creat</w:t>
      </w:r>
      <w:r w:rsidRPr="00D91DBF">
        <w:rPr>
          <w:rFonts w:eastAsiaTheme="minorEastAsia"/>
          <w:lang w:val="en-US"/>
        </w:rPr>
        <w:t>es</w:t>
      </w:r>
      <w:r w:rsidR="00B84205" w:rsidRPr="00D91DBF">
        <w:rPr>
          <w:rFonts w:eastAsiaTheme="minorEastAsia"/>
          <w:lang w:val="en-US"/>
        </w:rPr>
        <w:t xml:space="preserve"> </w:t>
      </w:r>
      <w:r w:rsidR="002B58BD" w:rsidRPr="00D91DBF">
        <w:rPr>
          <w:rFonts w:eastAsiaTheme="minorEastAsia"/>
          <w:lang w:val="en-US"/>
        </w:rPr>
        <w:t xml:space="preserve">a micro-clime </w:t>
      </w:r>
      <w:r w:rsidRPr="00D91DBF">
        <w:rPr>
          <w:rFonts w:eastAsiaTheme="minorEastAsia"/>
          <w:lang w:val="en-US"/>
        </w:rPr>
        <w:t>which</w:t>
      </w:r>
      <w:r w:rsidR="002B58BD" w:rsidRPr="00D91DBF">
        <w:rPr>
          <w:rFonts w:eastAsiaTheme="minorEastAsia"/>
          <w:lang w:val="en-US"/>
        </w:rPr>
        <w:t xml:space="preserve"> limits the effect of the vertical gradient in the occupied area</w:t>
      </w:r>
      <w:r w:rsidR="003260DA" w:rsidRPr="00D91DBF">
        <w:rPr>
          <w:rFonts w:eastAsiaTheme="minorEastAsia"/>
          <w:lang w:val="en-US"/>
        </w:rPr>
        <w:t xml:space="preserve">. This combination supports </w:t>
      </w:r>
      <w:r w:rsidRPr="00D91DBF">
        <w:rPr>
          <w:rFonts w:eastAsiaTheme="minorEastAsia"/>
          <w:lang w:val="en-US"/>
        </w:rPr>
        <w:t>the strong</w:t>
      </w:r>
      <w:r w:rsidR="003260DA" w:rsidRPr="00D91DBF">
        <w:rPr>
          <w:rFonts w:eastAsiaTheme="minorEastAsia"/>
          <w:lang w:val="en-US"/>
        </w:rPr>
        <w:t xml:space="preserve"> hypothesis of considering one temperature value</w:t>
      </w:r>
      <w:r w:rsidRPr="00D91DBF">
        <w:rPr>
          <w:rFonts w:eastAsiaTheme="minorEastAsia"/>
          <w:lang w:val="en-US"/>
        </w:rPr>
        <w:t>, or single thermal zone,</w:t>
      </w:r>
      <w:r w:rsidR="003260DA" w:rsidRPr="00D91DBF">
        <w:rPr>
          <w:rFonts w:eastAsiaTheme="minorEastAsia"/>
          <w:lang w:val="en-US"/>
        </w:rPr>
        <w:t xml:space="preserve"> for the second floor. </w:t>
      </w:r>
    </w:p>
    <w:p w14:paraId="27000F39" w14:textId="77777777" w:rsidR="002B58BD" w:rsidRPr="00D91DBF" w:rsidRDefault="002B58BD" w:rsidP="002B58BD">
      <w:pPr>
        <w:jc w:val="center"/>
        <w:rPr>
          <w:rFonts w:eastAsiaTheme="minorEastAsia"/>
          <w:noProof/>
          <w:lang w:val="en-AU"/>
        </w:rPr>
      </w:pPr>
      <w:r w:rsidRPr="00D91DBF">
        <w:rPr>
          <w:rFonts w:eastAsiaTheme="minorEastAsia"/>
          <w:noProof/>
          <w:lang w:val="en-AU"/>
        </w:rPr>
        <w:drawing>
          <wp:inline distT="0" distB="0" distL="0" distR="0" wp14:anchorId="34AFDB54" wp14:editId="3CBED0F8">
            <wp:extent cx="4410231" cy="1790700"/>
            <wp:effectExtent l="0" t="0" r="9525" b="0"/>
            <wp:docPr id="11" name="Immagine 11" descr="Immagine che contiene testo, diagramma, Pian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diagramma, Piano, scherma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6560" cy="1813571"/>
                    </a:xfrm>
                    <a:prstGeom prst="rect">
                      <a:avLst/>
                    </a:prstGeom>
                    <a:noFill/>
                  </pic:spPr>
                </pic:pic>
              </a:graphicData>
            </a:graphic>
          </wp:inline>
        </w:drawing>
      </w:r>
    </w:p>
    <w:p w14:paraId="4854CFC1" w14:textId="77777777" w:rsidR="002B58BD" w:rsidRPr="00D91DBF" w:rsidRDefault="002B58BD" w:rsidP="002B58BD">
      <w:pPr>
        <w:keepNext/>
        <w:jc w:val="center"/>
      </w:pPr>
      <w:r w:rsidRPr="00D91DBF">
        <w:rPr>
          <w:noProof/>
        </w:rPr>
        <w:drawing>
          <wp:inline distT="0" distB="0" distL="0" distR="0" wp14:anchorId="52D0EB2F" wp14:editId="59CF18DE">
            <wp:extent cx="4319589" cy="1828800"/>
            <wp:effectExtent l="0" t="0" r="5080" b="0"/>
            <wp:docPr id="13" name="Immagine 13" descr="Immagine che contiene diagramma, Piano, Rettangol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diagramma, Piano, Rettangolo, schermata&#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5620" cy="1856756"/>
                    </a:xfrm>
                    <a:prstGeom prst="rect">
                      <a:avLst/>
                    </a:prstGeom>
                    <a:noFill/>
                  </pic:spPr>
                </pic:pic>
              </a:graphicData>
            </a:graphic>
          </wp:inline>
        </w:drawing>
      </w:r>
    </w:p>
    <w:p w14:paraId="78B2F4FA" w14:textId="404321E7" w:rsidR="002B58BD" w:rsidRPr="00D91DBF" w:rsidRDefault="002B58BD" w:rsidP="002B58BD">
      <w:pPr>
        <w:pStyle w:val="Didascalia"/>
        <w:jc w:val="center"/>
        <w:rPr>
          <w:rFonts w:ascii="Times New Roman" w:eastAsiaTheme="minorEastAsia" w:hAnsi="Times New Roman" w:cs="Times New Roman"/>
          <w:i w:val="0"/>
          <w:iCs w:val="0"/>
          <w:noProof/>
          <w:sz w:val="22"/>
          <w:szCs w:val="22"/>
          <w:lang w:val="en-AU"/>
        </w:rPr>
      </w:pPr>
      <w:bookmarkStart w:id="0" w:name="_Ref142489792"/>
      <w:r w:rsidRPr="00D91DBF">
        <w:rPr>
          <w:rFonts w:ascii="Times New Roman" w:hAnsi="Times New Roman" w:cs="Times New Roman"/>
          <w:i w:val="0"/>
          <w:iCs w:val="0"/>
          <w:color w:val="auto"/>
          <w:sz w:val="22"/>
          <w:szCs w:val="22"/>
        </w:rPr>
        <w:t xml:space="preserve">Figure </w:t>
      </w:r>
      <w:r w:rsidRPr="00D91DBF">
        <w:rPr>
          <w:rFonts w:ascii="Times New Roman" w:hAnsi="Times New Roman" w:cs="Times New Roman"/>
          <w:i w:val="0"/>
          <w:iCs w:val="0"/>
          <w:color w:val="auto"/>
          <w:sz w:val="22"/>
          <w:szCs w:val="22"/>
        </w:rPr>
        <w:fldChar w:fldCharType="begin"/>
      </w:r>
      <w:r w:rsidRPr="00D91DBF">
        <w:rPr>
          <w:rFonts w:ascii="Times New Roman" w:hAnsi="Times New Roman" w:cs="Times New Roman"/>
          <w:i w:val="0"/>
          <w:iCs w:val="0"/>
          <w:color w:val="auto"/>
          <w:sz w:val="22"/>
          <w:szCs w:val="22"/>
        </w:rPr>
        <w:instrText xml:space="preserve"> SEQ Figure \* ARABIC </w:instrText>
      </w:r>
      <w:r w:rsidRPr="00D91DBF">
        <w:rPr>
          <w:rFonts w:ascii="Times New Roman" w:hAnsi="Times New Roman" w:cs="Times New Roman"/>
          <w:i w:val="0"/>
          <w:iCs w:val="0"/>
          <w:color w:val="auto"/>
          <w:sz w:val="22"/>
          <w:szCs w:val="22"/>
        </w:rPr>
        <w:fldChar w:fldCharType="separate"/>
      </w:r>
      <w:r w:rsidR="00AF4D35">
        <w:rPr>
          <w:rFonts w:ascii="Times New Roman" w:hAnsi="Times New Roman" w:cs="Times New Roman"/>
          <w:i w:val="0"/>
          <w:iCs w:val="0"/>
          <w:noProof/>
          <w:color w:val="auto"/>
          <w:sz w:val="22"/>
          <w:szCs w:val="22"/>
        </w:rPr>
        <w:t>1</w:t>
      </w:r>
      <w:r w:rsidRPr="00D91DBF">
        <w:rPr>
          <w:rFonts w:ascii="Times New Roman" w:hAnsi="Times New Roman" w:cs="Times New Roman"/>
          <w:i w:val="0"/>
          <w:iCs w:val="0"/>
          <w:color w:val="auto"/>
          <w:sz w:val="22"/>
          <w:szCs w:val="22"/>
        </w:rPr>
        <w:fldChar w:fldCharType="end"/>
      </w:r>
      <w:bookmarkEnd w:id="0"/>
      <w:r w:rsidRPr="00D91DBF">
        <w:rPr>
          <w:rFonts w:ascii="Times New Roman" w:hAnsi="Times New Roman" w:cs="Times New Roman"/>
          <w:i w:val="0"/>
          <w:iCs w:val="0"/>
          <w:color w:val="auto"/>
          <w:sz w:val="22"/>
          <w:szCs w:val="22"/>
        </w:rPr>
        <w:t xml:space="preserve">: </w:t>
      </w:r>
      <w:r w:rsidR="000F7F76" w:rsidRPr="00D91DBF">
        <w:rPr>
          <w:rFonts w:ascii="Times New Roman" w:hAnsi="Times New Roman" w:cs="Times New Roman"/>
          <w:i w:val="0"/>
          <w:iCs w:val="0"/>
          <w:color w:val="auto"/>
          <w:sz w:val="22"/>
          <w:szCs w:val="22"/>
        </w:rPr>
        <w:t>Layout</w:t>
      </w:r>
      <w:r w:rsidRPr="00D91DBF">
        <w:rPr>
          <w:rFonts w:ascii="Times New Roman" w:hAnsi="Times New Roman" w:cs="Times New Roman"/>
          <w:i w:val="0"/>
          <w:iCs w:val="0"/>
          <w:color w:val="auto"/>
          <w:sz w:val="22"/>
          <w:szCs w:val="22"/>
        </w:rPr>
        <w:t xml:space="preserve"> of the main zones in the first and second floor considered in the developed model.</w:t>
      </w:r>
    </w:p>
    <w:p w14:paraId="723AA974" w14:textId="70FD03B2" w:rsidR="000A4FC5" w:rsidRPr="00D91DBF" w:rsidRDefault="000F7F76" w:rsidP="002B58BD">
      <w:pPr>
        <w:jc w:val="both"/>
      </w:pPr>
      <w:r w:rsidRPr="00D91DBF">
        <w:lastRenderedPageBreak/>
        <w:fldChar w:fldCharType="begin"/>
      </w:r>
      <w:r w:rsidRPr="00D91DBF">
        <w:instrText xml:space="preserve"> REF _Ref142489792 \h  \* MERGEFORMAT </w:instrText>
      </w:r>
      <w:r w:rsidRPr="00D91DBF">
        <w:fldChar w:fldCharType="separate"/>
      </w:r>
      <w:r w:rsidR="00AF4D35" w:rsidRPr="00AF4D35">
        <w:t xml:space="preserve">Figure </w:t>
      </w:r>
      <w:r w:rsidR="00AF4D35" w:rsidRPr="00AF4D35">
        <w:rPr>
          <w:noProof/>
        </w:rPr>
        <w:t>1</w:t>
      </w:r>
      <w:r w:rsidRPr="00D91DBF">
        <w:fldChar w:fldCharType="end"/>
      </w:r>
      <w:r w:rsidRPr="00D91DBF">
        <w:t xml:space="preserve"> describes the layout of the library and the considered thermal zones:</w:t>
      </w:r>
      <w:r w:rsidR="002B58BD" w:rsidRPr="00D91DBF">
        <w:t xml:space="preserve"> two for the first floor, highlighted in blue and green, and one for the second floor, highlighted in green. This </w:t>
      </w:r>
      <w:r w:rsidR="00D07616" w:rsidRPr="00D91DBF">
        <w:t>discussion</w:t>
      </w:r>
      <w:r w:rsidRPr="00D91DBF">
        <w:t xml:space="preserve"> </w:t>
      </w:r>
      <w:r w:rsidR="00273A33" w:rsidRPr="00D91DBF">
        <w:t>establishes</w:t>
      </w:r>
      <w:r w:rsidRPr="00D91DBF">
        <w:t xml:space="preserve"> the creation of a gr</w:t>
      </w:r>
      <w:r w:rsidR="000A4FC5">
        <w:t>e</w:t>
      </w:r>
      <w:r w:rsidRPr="00D91DBF">
        <w:t>y</w:t>
      </w:r>
      <w:r w:rsidR="000A4FC5">
        <w:t>-</w:t>
      </w:r>
      <w:r w:rsidRPr="00D91DBF">
        <w:t>box model or RC-net</w:t>
      </w:r>
      <w:r w:rsidR="002B58BD" w:rsidRPr="00D91DBF">
        <w:t xml:space="preserve">work </w:t>
      </w:r>
      <w:r w:rsidRPr="00D91DBF">
        <w:t xml:space="preserve">with five </w:t>
      </w:r>
      <w:r w:rsidR="00E7580A" w:rsidRPr="00D91DBF">
        <w:t xml:space="preserve">different </w:t>
      </w:r>
      <w:r w:rsidRPr="00D91DBF">
        <w:t>nodes</w:t>
      </w:r>
      <w:r w:rsidR="002B58BD" w:rsidRPr="00D91DBF">
        <w:t>. The</w:t>
      </w:r>
      <w:r w:rsidRPr="00D91DBF">
        <w:t>se</w:t>
      </w:r>
      <w:r w:rsidR="002B58BD" w:rsidRPr="00D91DBF">
        <w:t xml:space="preserve"> nodes are described </w:t>
      </w:r>
      <w:r w:rsidRPr="00D91DBF">
        <w:t xml:space="preserve">in detail in </w:t>
      </w:r>
      <w:r w:rsidR="002B58BD" w:rsidRPr="00D91DBF">
        <w:fldChar w:fldCharType="begin"/>
      </w:r>
      <w:r w:rsidR="002B58BD" w:rsidRPr="00D91DBF">
        <w:instrText xml:space="preserve"> REF _Ref131688053 \h  \* MERGEFORMAT </w:instrText>
      </w:r>
      <w:r w:rsidR="002B58BD" w:rsidRPr="00D91DBF">
        <w:fldChar w:fldCharType="separate"/>
      </w:r>
      <w:r w:rsidR="00AF4D35" w:rsidRPr="00AF4D35">
        <w:rPr>
          <w:lang w:val="en-AU"/>
        </w:rPr>
        <w:t xml:space="preserve">Table </w:t>
      </w:r>
      <w:r w:rsidR="00AF4D35" w:rsidRPr="00AF4D35">
        <w:rPr>
          <w:noProof/>
          <w:lang w:val="en-AU"/>
        </w:rPr>
        <w:t>1</w:t>
      </w:r>
      <w:r w:rsidR="002B58BD" w:rsidRPr="00D91DBF">
        <w:fldChar w:fldCharType="end"/>
      </w:r>
      <w:r w:rsidR="002B58BD" w:rsidRPr="00D91DBF">
        <w:t xml:space="preserve">. </w:t>
      </w:r>
    </w:p>
    <w:p w14:paraId="699E3C52" w14:textId="010EF8D3" w:rsidR="002B58BD" w:rsidRPr="00D91DBF" w:rsidRDefault="002B58BD" w:rsidP="002B58BD">
      <w:pPr>
        <w:pStyle w:val="Didascalia"/>
        <w:keepNext/>
        <w:jc w:val="center"/>
        <w:rPr>
          <w:rFonts w:ascii="Times New Roman" w:hAnsi="Times New Roman" w:cs="Times New Roman"/>
          <w:i w:val="0"/>
          <w:iCs w:val="0"/>
          <w:color w:val="auto"/>
          <w:sz w:val="22"/>
          <w:szCs w:val="22"/>
          <w:lang w:val="en-AU"/>
        </w:rPr>
      </w:pPr>
      <w:bookmarkStart w:id="1" w:name="_Ref131688053"/>
      <w:r w:rsidRPr="00D91DBF">
        <w:rPr>
          <w:rFonts w:ascii="Times New Roman" w:hAnsi="Times New Roman" w:cs="Times New Roman"/>
          <w:i w:val="0"/>
          <w:iCs w:val="0"/>
          <w:color w:val="auto"/>
          <w:sz w:val="22"/>
          <w:szCs w:val="22"/>
          <w:lang w:val="en-AU"/>
        </w:rPr>
        <w:t xml:space="preserve">Table </w:t>
      </w:r>
      <w:r w:rsidR="0040633A" w:rsidRPr="00D91DBF">
        <w:rPr>
          <w:rFonts w:ascii="Times New Roman" w:hAnsi="Times New Roman" w:cs="Times New Roman"/>
          <w:i w:val="0"/>
          <w:iCs w:val="0"/>
          <w:color w:val="auto"/>
          <w:sz w:val="22"/>
          <w:szCs w:val="22"/>
          <w:lang w:val="en-AU"/>
        </w:rPr>
        <w:fldChar w:fldCharType="begin"/>
      </w:r>
      <w:r w:rsidR="0040633A" w:rsidRPr="00D91DBF">
        <w:rPr>
          <w:rFonts w:ascii="Times New Roman" w:hAnsi="Times New Roman" w:cs="Times New Roman"/>
          <w:i w:val="0"/>
          <w:iCs w:val="0"/>
          <w:color w:val="auto"/>
          <w:sz w:val="22"/>
          <w:szCs w:val="22"/>
          <w:lang w:val="en-AU"/>
        </w:rPr>
        <w:instrText xml:space="preserve"> SEQ Table \* ARABIC </w:instrText>
      </w:r>
      <w:r w:rsidR="0040633A" w:rsidRPr="00D91DBF">
        <w:rPr>
          <w:rFonts w:ascii="Times New Roman" w:hAnsi="Times New Roman" w:cs="Times New Roman"/>
          <w:i w:val="0"/>
          <w:iCs w:val="0"/>
          <w:color w:val="auto"/>
          <w:sz w:val="22"/>
          <w:szCs w:val="22"/>
          <w:lang w:val="en-AU"/>
        </w:rPr>
        <w:fldChar w:fldCharType="separate"/>
      </w:r>
      <w:r w:rsidR="00AF4D35">
        <w:rPr>
          <w:rFonts w:ascii="Times New Roman" w:hAnsi="Times New Roman" w:cs="Times New Roman"/>
          <w:i w:val="0"/>
          <w:iCs w:val="0"/>
          <w:noProof/>
          <w:color w:val="auto"/>
          <w:sz w:val="22"/>
          <w:szCs w:val="22"/>
          <w:lang w:val="en-AU"/>
        </w:rPr>
        <w:t>1</w:t>
      </w:r>
      <w:r w:rsidR="0040633A" w:rsidRPr="00D91DBF">
        <w:rPr>
          <w:rFonts w:ascii="Times New Roman" w:hAnsi="Times New Roman" w:cs="Times New Roman"/>
          <w:i w:val="0"/>
          <w:iCs w:val="0"/>
          <w:color w:val="auto"/>
          <w:sz w:val="22"/>
          <w:szCs w:val="22"/>
          <w:lang w:val="en-AU"/>
        </w:rPr>
        <w:fldChar w:fldCharType="end"/>
      </w:r>
      <w:bookmarkEnd w:id="1"/>
      <w:r w:rsidRPr="00D91DBF">
        <w:rPr>
          <w:rFonts w:ascii="Times New Roman" w:hAnsi="Times New Roman" w:cs="Times New Roman"/>
          <w:i w:val="0"/>
          <w:iCs w:val="0"/>
          <w:color w:val="auto"/>
          <w:sz w:val="22"/>
          <w:szCs w:val="22"/>
          <w:lang w:val="en-AU"/>
        </w:rPr>
        <w:t>: RC-network nodes described in detail.</w:t>
      </w:r>
    </w:p>
    <w:tbl>
      <w:tblPr>
        <w:tblStyle w:val="Grigliatabell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9"/>
        <w:gridCol w:w="3879"/>
      </w:tblGrid>
      <w:tr w:rsidR="002B58BD" w:rsidRPr="00D91DBF" w14:paraId="39D81522" w14:textId="77777777" w:rsidTr="00AF030B">
        <w:trPr>
          <w:trHeight w:val="285"/>
          <w:jc w:val="center"/>
        </w:trPr>
        <w:tc>
          <w:tcPr>
            <w:tcW w:w="939" w:type="dxa"/>
          </w:tcPr>
          <w:p w14:paraId="767CFD7D" w14:textId="77777777" w:rsidR="002B58BD" w:rsidRPr="00D91DBF" w:rsidRDefault="002B58BD" w:rsidP="00AF030B">
            <w:pPr>
              <w:jc w:val="center"/>
              <w:rPr>
                <w:b/>
                <w:bCs/>
              </w:rPr>
            </w:pPr>
            <w:r w:rsidRPr="00D91DBF">
              <w:rPr>
                <w:b/>
                <w:bCs/>
              </w:rPr>
              <w:t>Node</w:t>
            </w:r>
          </w:p>
        </w:tc>
        <w:tc>
          <w:tcPr>
            <w:tcW w:w="3879" w:type="dxa"/>
          </w:tcPr>
          <w:p w14:paraId="34158D3C" w14:textId="77777777" w:rsidR="002B58BD" w:rsidRPr="00D91DBF" w:rsidRDefault="002B58BD" w:rsidP="00AF030B">
            <w:pPr>
              <w:jc w:val="center"/>
              <w:rPr>
                <w:b/>
                <w:bCs/>
              </w:rPr>
            </w:pPr>
            <w:r w:rsidRPr="00D91DBF">
              <w:rPr>
                <w:b/>
                <w:bCs/>
              </w:rPr>
              <w:t>Description</w:t>
            </w:r>
          </w:p>
        </w:tc>
      </w:tr>
      <w:tr w:rsidR="002B58BD" w:rsidRPr="00D91DBF" w14:paraId="64A0B2F3" w14:textId="77777777" w:rsidTr="00AF030B">
        <w:trPr>
          <w:trHeight w:val="285"/>
          <w:jc w:val="center"/>
        </w:trPr>
        <w:tc>
          <w:tcPr>
            <w:tcW w:w="939" w:type="dxa"/>
          </w:tcPr>
          <w:p w14:paraId="31AF8721" w14:textId="77777777" w:rsidR="002B58BD" w:rsidRPr="00D91DBF" w:rsidRDefault="002B58BD" w:rsidP="00AF030B">
            <w:pPr>
              <w:jc w:val="center"/>
            </w:pPr>
            <w:r w:rsidRPr="00D91DBF">
              <w:t>1</w:t>
            </w:r>
          </w:p>
        </w:tc>
        <w:tc>
          <w:tcPr>
            <w:tcW w:w="3879" w:type="dxa"/>
          </w:tcPr>
          <w:p w14:paraId="35DFC54C" w14:textId="77777777" w:rsidR="002B58BD" w:rsidRPr="00D91DBF" w:rsidRDefault="002B58BD" w:rsidP="00AF030B">
            <w:pPr>
              <w:rPr>
                <w:lang w:val="en-AU"/>
              </w:rPr>
            </w:pPr>
            <w:r w:rsidRPr="00D91DBF">
              <w:rPr>
                <w:lang w:val="en-AU"/>
              </w:rPr>
              <w:t>First floor air node of the south-oriented zone.</w:t>
            </w:r>
          </w:p>
        </w:tc>
      </w:tr>
      <w:tr w:rsidR="002B58BD" w:rsidRPr="00D91DBF" w14:paraId="40FD216E" w14:textId="77777777" w:rsidTr="00AF030B">
        <w:trPr>
          <w:trHeight w:val="272"/>
          <w:jc w:val="center"/>
        </w:trPr>
        <w:tc>
          <w:tcPr>
            <w:tcW w:w="939" w:type="dxa"/>
          </w:tcPr>
          <w:p w14:paraId="03FDF2EA" w14:textId="77777777" w:rsidR="002B58BD" w:rsidRPr="00D91DBF" w:rsidRDefault="002B58BD" w:rsidP="00AF030B">
            <w:pPr>
              <w:jc w:val="center"/>
            </w:pPr>
            <w:r w:rsidRPr="00D91DBF">
              <w:t>2</w:t>
            </w:r>
          </w:p>
        </w:tc>
        <w:tc>
          <w:tcPr>
            <w:tcW w:w="3879" w:type="dxa"/>
          </w:tcPr>
          <w:p w14:paraId="405CBE4B" w14:textId="77777777" w:rsidR="002B58BD" w:rsidRPr="00D91DBF" w:rsidRDefault="002B58BD" w:rsidP="00AF030B">
            <w:pPr>
              <w:rPr>
                <w:lang w:val="en-AU"/>
              </w:rPr>
            </w:pPr>
            <w:r w:rsidRPr="00D91DBF">
              <w:rPr>
                <w:lang w:val="en-AU"/>
              </w:rPr>
              <w:t>First floor air node of the north-oriented zone.</w:t>
            </w:r>
          </w:p>
        </w:tc>
      </w:tr>
      <w:tr w:rsidR="002B58BD" w:rsidRPr="00D91DBF" w14:paraId="1A4428CB" w14:textId="77777777" w:rsidTr="00AF030B">
        <w:trPr>
          <w:trHeight w:val="285"/>
          <w:jc w:val="center"/>
        </w:trPr>
        <w:tc>
          <w:tcPr>
            <w:tcW w:w="939" w:type="dxa"/>
          </w:tcPr>
          <w:p w14:paraId="49F85F2A" w14:textId="77777777" w:rsidR="002B58BD" w:rsidRPr="00D91DBF" w:rsidRDefault="002B58BD" w:rsidP="00AF030B">
            <w:pPr>
              <w:jc w:val="center"/>
            </w:pPr>
            <w:r w:rsidRPr="00D91DBF">
              <w:t>3</w:t>
            </w:r>
          </w:p>
        </w:tc>
        <w:tc>
          <w:tcPr>
            <w:tcW w:w="3879" w:type="dxa"/>
          </w:tcPr>
          <w:p w14:paraId="58679ECE" w14:textId="77777777" w:rsidR="002B58BD" w:rsidRPr="00D91DBF" w:rsidRDefault="002B58BD" w:rsidP="00AF030B">
            <w:r w:rsidRPr="00D91DBF">
              <w:t>Second floor air node.</w:t>
            </w:r>
          </w:p>
        </w:tc>
      </w:tr>
      <w:tr w:rsidR="002B58BD" w:rsidRPr="00D91DBF" w14:paraId="334E485B" w14:textId="77777777" w:rsidTr="00AF030B">
        <w:trPr>
          <w:trHeight w:val="285"/>
          <w:jc w:val="center"/>
        </w:trPr>
        <w:tc>
          <w:tcPr>
            <w:tcW w:w="939" w:type="dxa"/>
          </w:tcPr>
          <w:p w14:paraId="43DDB310" w14:textId="77777777" w:rsidR="002B58BD" w:rsidRPr="00D91DBF" w:rsidRDefault="002B58BD" w:rsidP="00AF030B">
            <w:pPr>
              <w:jc w:val="center"/>
            </w:pPr>
            <w:r w:rsidRPr="00D91DBF">
              <w:t>4</w:t>
            </w:r>
          </w:p>
        </w:tc>
        <w:tc>
          <w:tcPr>
            <w:tcW w:w="3879" w:type="dxa"/>
          </w:tcPr>
          <w:p w14:paraId="2B2B32F2" w14:textId="77777777" w:rsidR="002B58BD" w:rsidRPr="00D91DBF" w:rsidRDefault="002B58BD" w:rsidP="00AF030B">
            <w:pPr>
              <w:rPr>
                <w:lang w:val="en-AU"/>
              </w:rPr>
            </w:pPr>
            <w:r w:rsidRPr="00D91DBF">
              <w:rPr>
                <w:lang w:val="en-AU"/>
              </w:rPr>
              <w:t>Radiant slab node of the first floor.</w:t>
            </w:r>
          </w:p>
        </w:tc>
      </w:tr>
      <w:tr w:rsidR="002B58BD" w:rsidRPr="00D91DBF" w14:paraId="4938EBFE" w14:textId="77777777" w:rsidTr="00AF030B">
        <w:trPr>
          <w:trHeight w:val="285"/>
          <w:jc w:val="center"/>
        </w:trPr>
        <w:tc>
          <w:tcPr>
            <w:tcW w:w="939" w:type="dxa"/>
          </w:tcPr>
          <w:p w14:paraId="5D3A87C0" w14:textId="77777777" w:rsidR="002B58BD" w:rsidRPr="00D91DBF" w:rsidRDefault="002B58BD" w:rsidP="00AF030B">
            <w:pPr>
              <w:jc w:val="center"/>
            </w:pPr>
            <w:r w:rsidRPr="00D91DBF">
              <w:t>5</w:t>
            </w:r>
          </w:p>
        </w:tc>
        <w:tc>
          <w:tcPr>
            <w:tcW w:w="3879" w:type="dxa"/>
          </w:tcPr>
          <w:p w14:paraId="2976AF89" w14:textId="77777777" w:rsidR="002B58BD" w:rsidRPr="00D91DBF" w:rsidRDefault="002B58BD" w:rsidP="00AF030B">
            <w:pPr>
              <w:rPr>
                <w:lang w:val="en-AU"/>
              </w:rPr>
            </w:pPr>
            <w:r w:rsidRPr="00D91DBF">
              <w:rPr>
                <w:lang w:val="en-AU"/>
              </w:rPr>
              <w:t>Radiant slab node of the second floor.</w:t>
            </w:r>
          </w:p>
        </w:tc>
      </w:tr>
    </w:tbl>
    <w:p w14:paraId="27C24538" w14:textId="77777777" w:rsidR="002B58BD" w:rsidRPr="00D91DBF" w:rsidRDefault="002B58BD" w:rsidP="002B58BD">
      <w:pPr>
        <w:spacing w:after="0"/>
      </w:pPr>
    </w:p>
    <w:p w14:paraId="0A0FD038" w14:textId="77777777" w:rsidR="00D91224" w:rsidRPr="00D91DBF" w:rsidRDefault="00D91224" w:rsidP="002B58BD">
      <w:pPr>
        <w:jc w:val="both"/>
      </w:pPr>
    </w:p>
    <w:p w14:paraId="08D2F2AD" w14:textId="134A0713" w:rsidR="00B34487" w:rsidRPr="00D91DBF" w:rsidRDefault="00B34487" w:rsidP="00223DCE">
      <w:pPr>
        <w:pStyle w:val="Paragrafoelenco"/>
        <w:numPr>
          <w:ilvl w:val="0"/>
          <w:numId w:val="7"/>
        </w:numPr>
        <w:jc w:val="both"/>
        <w:rPr>
          <w:b/>
          <w:bCs w:val="0"/>
        </w:rPr>
      </w:pPr>
      <w:r w:rsidRPr="00D91DBF">
        <w:rPr>
          <w:b/>
          <w:bCs w:val="0"/>
        </w:rPr>
        <w:t>Model</w:t>
      </w:r>
      <w:r w:rsidR="00473414" w:rsidRPr="00D91DBF">
        <w:rPr>
          <w:b/>
          <w:bCs w:val="0"/>
        </w:rPr>
        <w:t>ling approach</w:t>
      </w:r>
    </w:p>
    <w:p w14:paraId="53943D8B" w14:textId="4394FAD1" w:rsidR="004B1B66" w:rsidRPr="00D91DBF" w:rsidRDefault="004B1B66" w:rsidP="00A522ED">
      <w:pPr>
        <w:spacing w:line="240" w:lineRule="auto"/>
        <w:jc w:val="both"/>
      </w:pPr>
      <w:r w:rsidRPr="00D91DBF">
        <w:t xml:space="preserve">The building thermal response is modelled using a resistance capacitance (RC) thermal network approach. RC networks aim to capture the dominant building physics while ignoring the nonlinearities that complicate controller design, and making them suitable for building control applications </w:t>
      </w:r>
      <w:r w:rsidRPr="00D91DBF">
        <w:fldChar w:fldCharType="begin"/>
      </w:r>
      <w:r w:rsidRPr="00D91DBF">
        <w:instrText xml:space="preserve"> ADDIN EN.CITE &lt;EndNote&gt;&lt;Cite&gt;&lt;Author&gt;Candanedo&lt;/Author&gt;&lt;Year&gt;2022&lt;/Year&gt;&lt;RecNum&gt;17&lt;/RecNum&gt;&lt;DisplayText&gt;[13]&lt;/DisplayText&gt;&lt;record&gt;&lt;rec-number&gt;17&lt;/rec-number&gt;&lt;foreign-keys&gt;&lt;key app="EN" db-id="v9pdfs9f5ddafqe2evl52rvoxppzfa22f95w" timestamp="1680210878"&gt;17&lt;/key&gt;&lt;/foreign-keys&gt;&lt;ref-type name="Journal Article"&gt;17&lt;/ref-type&gt;&lt;contributors&gt;&lt;authors&gt;&lt;author&gt;Candanedo, José A&lt;/author&gt;&lt;author&gt;Vallianos, Charalampos&lt;/author&gt;&lt;author&gt;Delcroix, Benoit&lt;/author&gt;&lt;author&gt;Date, Jennifer&lt;/author&gt;&lt;author&gt;Saberi Derakhtenjani, Ali&lt;/author&gt;&lt;author&gt;Morovat, Navid&lt;/author&gt;&lt;author&gt;John, Camille&lt;/author&gt;&lt;author&gt;Athienitis, Andreas K %J Journal of Building Performance Simulation&lt;/author&gt;&lt;/authors&gt;&lt;/contributors&gt;&lt;titles&gt;&lt;title&gt;Control-oriented archetypes: a pathway for the systematic application of advanced controls in buildings&lt;/title&gt;&lt;/titles&gt;&lt;pages&gt;1-12&lt;/pages&gt;&lt;dates&gt;&lt;year&gt;2022&lt;/year&gt;&lt;/dates&gt;&lt;isbn&gt;1940-1493&lt;/isbn&gt;&lt;urls&gt;&lt;/urls&gt;&lt;/record&gt;&lt;/Cite&gt;&lt;/EndNote&gt;</w:instrText>
      </w:r>
      <w:r w:rsidRPr="00D91DBF">
        <w:fldChar w:fldCharType="separate"/>
      </w:r>
      <w:r w:rsidRPr="00D91DBF">
        <w:rPr>
          <w:noProof/>
        </w:rPr>
        <w:t>[13]</w:t>
      </w:r>
      <w:r w:rsidRPr="00D91DBF">
        <w:fldChar w:fldCharType="end"/>
      </w:r>
      <w:r w:rsidRPr="00D91DBF">
        <w:t xml:space="preserve">.  The building is divided into different nodes in which a building mass is lumped, using a zero-dimensional approach </w:t>
      </w:r>
      <w:r w:rsidRPr="00D91DBF">
        <w:fldChar w:fldCharType="begin"/>
      </w:r>
      <w:r w:rsidRPr="00D91DBF">
        <w:instrText xml:space="preserve"> ADDIN EN.CITE &lt;EndNote&gt;&lt;Cite&gt;&lt;Author&gt;Athienitis&lt;/Author&gt;&lt;Year&gt;2015&lt;/Year&gt;&lt;RecNum&gt;3&lt;/RecNum&gt;&lt;DisplayText&gt;[3]&lt;/DisplayText&gt;&lt;record&gt;&lt;rec-number&gt;3&lt;/rec-number&gt;&lt;foreign-keys&gt;&lt;key app="EN" db-id="v9pdfs9f5ddafqe2evl52rvoxppzfa22f95w" timestamp="1680210878"&gt;3&lt;/key&gt;&lt;/foreign-keys&gt;&lt;ref-type name="Book"&gt;6&lt;/ref-type&gt;&lt;contributors&gt;&lt;authors&gt;&lt;author&gt;Athienitis, Andreas&lt;/author&gt;&lt;author&gt;O&amp;apos;Brien, William&lt;/author&gt;&lt;/authors&gt;&lt;/contributors&gt;&lt;titles&gt;&lt;title&gt;Modeling, design, and optimization of net-zero energy buildings&lt;/title&gt;&lt;/titles&gt;&lt;dates&gt;&lt;year&gt;2015&lt;/year&gt;&lt;/dates&gt;&lt;publisher&gt;John Wiley &amp;amp; Sons&lt;/publisher&gt;&lt;isbn&gt;3433604630&lt;/isbn&gt;&lt;urls&gt;&lt;/urls&gt;&lt;/record&gt;&lt;/Cite&gt;&lt;/EndNote&gt;</w:instrText>
      </w:r>
      <w:r w:rsidRPr="00D91DBF">
        <w:fldChar w:fldCharType="separate"/>
      </w:r>
      <w:r w:rsidRPr="00D91DBF">
        <w:rPr>
          <w:noProof/>
        </w:rPr>
        <w:t>[3]</w:t>
      </w:r>
      <w:r w:rsidRPr="00D91DBF">
        <w:fldChar w:fldCharType="end"/>
      </w:r>
      <w:r w:rsidRPr="00D91DBF">
        <w:t xml:space="preserve">. Every </w:t>
      </w:r>
      <m:oMath>
        <m:r>
          <w:rPr>
            <w:rFonts w:ascii="Cambria Math" w:hAnsi="Cambria Math"/>
          </w:rPr>
          <m:t>i</m:t>
        </m:r>
      </m:oMath>
      <w:r w:rsidR="00BA5E67" w:rsidRPr="00D91DBF">
        <w:rPr>
          <w:rFonts w:eastAsiaTheme="minorEastAsia"/>
        </w:rPr>
        <w:t>-th</w:t>
      </w:r>
      <w:r w:rsidRPr="00D91DBF">
        <w:t xml:space="preserve"> node temperature is described by a differential equation, that accounts for both internal and external solicitations and is governed by Equation (1):</w:t>
      </w:r>
    </w:p>
    <w:bookmarkStart w:id="2" w:name="_Ref69988176"/>
    <w:bookmarkStart w:id="3" w:name="_Ref69988120"/>
    <w:p w14:paraId="7909E74B" w14:textId="55665386" w:rsidR="004B1B66" w:rsidRPr="00D91DBF" w:rsidRDefault="004B1B66" w:rsidP="00A522ED">
      <w:pPr>
        <w:spacing w:line="240" w:lineRule="auto"/>
        <w:jc w:val="both"/>
      </w:pPr>
      <w:r w:rsidRPr="00D91DBF">
        <w:rPr>
          <w:position w:val="-32"/>
          <w:sz w:val="20"/>
          <w:szCs w:val="20"/>
        </w:rPr>
        <w:object w:dxaOrig="4099" w:dyaOrig="800" w14:anchorId="5F7AA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44.25pt" o:ole="">
            <v:imagedata r:id="rId10" o:title=""/>
          </v:shape>
          <o:OLEObject Type="Embed" ProgID="Equation.DSMT4" ShapeID="_x0000_i1025" DrawAspect="Content" ObjectID="_1756023463" r:id="rId11"/>
        </w:object>
      </w:r>
      <w:r w:rsidRPr="00D91DBF">
        <w:rPr>
          <w:sz w:val="18"/>
          <w:szCs w:val="18"/>
        </w:rPr>
        <w:tab/>
        <w:t xml:space="preserve">                     </w:t>
      </w:r>
      <w:r w:rsidRPr="00D91DBF">
        <w:rPr>
          <w:position w:val="-10"/>
        </w:rPr>
        <w:object w:dxaOrig="1060" w:dyaOrig="320" w14:anchorId="7EC1069E">
          <v:shape id="_x0000_i1026" type="#_x0000_t75" style="width:53.25pt;height:15.75pt" o:ole="">
            <v:imagedata r:id="rId12" o:title=""/>
          </v:shape>
          <o:OLEObject Type="Embed" ProgID="Equation.DSMT4" ShapeID="_x0000_i1026" DrawAspect="Content" ObjectID="_1756023464" r:id="rId13"/>
        </w:object>
      </w:r>
      <w:r w:rsidRPr="00D91DBF">
        <w:rPr>
          <w:sz w:val="18"/>
          <w:szCs w:val="18"/>
        </w:rPr>
        <w:t xml:space="preserve">                                                                </w:t>
      </w:r>
      <w:r w:rsidR="006529E1" w:rsidRPr="00D91DBF">
        <w:rPr>
          <w:sz w:val="18"/>
          <w:szCs w:val="18"/>
        </w:rPr>
        <w:t xml:space="preserve"> </w:t>
      </w:r>
      <w:r w:rsidRPr="00D91DBF">
        <w:rPr>
          <w:sz w:val="18"/>
          <w:szCs w:val="18"/>
        </w:rPr>
        <w:t xml:space="preserve">      </w:t>
      </w:r>
      <w:r w:rsidRPr="00D91DBF">
        <w:t>(</w:t>
      </w:r>
      <w:fldSimple w:instr=" SEQ ( \* ARABIC ">
        <w:r w:rsidR="00AF4D35">
          <w:rPr>
            <w:noProof/>
          </w:rPr>
          <w:t>1</w:t>
        </w:r>
      </w:fldSimple>
      <w:bookmarkStart w:id="4" w:name="_Ref69988168"/>
      <w:bookmarkEnd w:id="2"/>
      <w:r w:rsidRPr="00D91DBF">
        <w:t>)</w:t>
      </w:r>
      <w:bookmarkEnd w:id="3"/>
      <w:bookmarkEnd w:id="4"/>
    </w:p>
    <w:p w14:paraId="0BFB145F" w14:textId="3BF314AE" w:rsidR="004B1B66" w:rsidRPr="00D91DBF" w:rsidRDefault="004B1B66" w:rsidP="00A522ED">
      <w:pPr>
        <w:spacing w:line="240" w:lineRule="auto"/>
        <w:ind w:right="-1"/>
        <w:jc w:val="both"/>
        <w:rPr>
          <w:rFonts w:eastAsia="Arial Unicode MS"/>
        </w:rPr>
      </w:pPr>
      <w:r w:rsidRPr="00D91DBF">
        <w:t xml:space="preserve">where </w:t>
      </w:r>
      <w:r w:rsidRPr="00D91DBF">
        <w:rPr>
          <w:position w:val="-12"/>
        </w:rPr>
        <w:object w:dxaOrig="220" w:dyaOrig="360" w14:anchorId="4E27C7D2">
          <v:shape id="_x0000_i1027" type="#_x0000_t75" style="width:12pt;height:18.75pt" o:ole="">
            <v:imagedata r:id="rId14" o:title=""/>
          </v:shape>
          <o:OLEObject Type="Embed" ProgID="Equation.DSMT4" ShapeID="_x0000_i1027" DrawAspect="Content" ObjectID="_1756023465" r:id="rId15"/>
        </w:object>
      </w:r>
      <w:r w:rsidRPr="00D91DBF">
        <w:t xml:space="preserve"> represents the temperature of node </w:t>
      </w:r>
      <m:oMath>
        <m:r>
          <w:rPr>
            <w:rFonts w:ascii="Cambria Math" w:hAnsi="Cambria Math"/>
          </w:rPr>
          <m:t>i</m:t>
        </m:r>
      </m:oMath>
      <w:r w:rsidRPr="00D91DBF">
        <w:t xml:space="preserve"> [K], </w:t>
      </w:r>
      <w:r w:rsidRPr="00D91DBF">
        <w:rPr>
          <w:position w:val="-12"/>
        </w:rPr>
        <w:object w:dxaOrig="279" w:dyaOrig="360" w14:anchorId="672996D5">
          <v:shape id="_x0000_i1028" type="#_x0000_t75" style="width:12pt;height:18.75pt" o:ole="">
            <v:imagedata r:id="rId16" o:title=""/>
          </v:shape>
          <o:OLEObject Type="Embed" ProgID="Equation.DSMT4" ShapeID="_x0000_i1028" DrawAspect="Content" ObjectID="_1756023466" r:id="rId17"/>
        </w:object>
      </w:r>
      <w:r w:rsidRPr="00D91DBF">
        <w:t xml:space="preserve"> is the thermal capacity of node </w:t>
      </w:r>
      <m:oMath>
        <m:r>
          <w:rPr>
            <w:rFonts w:ascii="Cambria Math" w:hAnsi="Cambria Math"/>
          </w:rPr>
          <m:t>i</m:t>
        </m:r>
      </m:oMath>
      <w:r w:rsidRPr="00D91DBF">
        <w:t xml:space="preserve"> [J/K], </w:t>
      </w:r>
      <w:r w:rsidRPr="00D91DBF">
        <w:rPr>
          <w:position w:val="-14"/>
        </w:rPr>
        <w:object w:dxaOrig="260" w:dyaOrig="380" w14:anchorId="418C5786">
          <v:shape id="_x0000_i1029" type="#_x0000_t75" style="width:12pt;height:17.25pt" o:ole="">
            <v:imagedata r:id="rId18" o:title=""/>
          </v:shape>
          <o:OLEObject Type="Embed" ProgID="Equation.DSMT4" ShapeID="_x0000_i1029" DrawAspect="Content" ObjectID="_1756023467" r:id="rId19"/>
        </w:object>
      </w:r>
      <w:r w:rsidRPr="00D91DBF">
        <w:t xml:space="preserve"> represents the temperature of the node </w:t>
      </w:r>
      <m:oMath>
        <m:r>
          <w:rPr>
            <w:rFonts w:ascii="Cambria Math" w:hAnsi="Cambria Math"/>
          </w:rPr>
          <m:t>j</m:t>
        </m:r>
      </m:oMath>
      <w:r w:rsidRPr="00D91DBF">
        <w:t xml:space="preserve"> adjacent to node </w:t>
      </w:r>
      <m:oMath>
        <m:r>
          <w:rPr>
            <w:rFonts w:ascii="Cambria Math" w:hAnsi="Cambria Math"/>
          </w:rPr>
          <m:t>i</m:t>
        </m:r>
      </m:oMath>
      <w:r w:rsidRPr="00D91DBF">
        <w:t xml:space="preserve"> [K], </w:t>
      </w:r>
      <w:r w:rsidRPr="00D91DBF">
        <w:rPr>
          <w:position w:val="-14"/>
        </w:rPr>
        <w:object w:dxaOrig="380" w:dyaOrig="380" w14:anchorId="400689F8">
          <v:shape id="_x0000_i1030" type="#_x0000_t75" style="width:17.25pt;height:17.25pt" o:ole="">
            <v:imagedata r:id="rId20" o:title=""/>
          </v:shape>
          <o:OLEObject Type="Embed" ProgID="Equation.DSMT4" ShapeID="_x0000_i1030" DrawAspect="Content" ObjectID="_1756023468" r:id="rId21"/>
        </w:object>
      </w:r>
      <w:r w:rsidRPr="00D91DBF">
        <w:t xml:space="preserve"> is the thermal resistance between the nodes </w:t>
      </w:r>
      <m:oMath>
        <m:r>
          <w:rPr>
            <w:rFonts w:ascii="Cambria Math" w:hAnsi="Cambria Math"/>
          </w:rPr>
          <m:t>i</m:t>
        </m:r>
      </m:oMath>
      <w:r w:rsidRPr="00D91DBF">
        <w:t xml:space="preserve"> and </w:t>
      </w:r>
      <m:oMath>
        <m:r>
          <w:rPr>
            <w:rFonts w:ascii="Cambria Math" w:hAnsi="Cambria Math"/>
          </w:rPr>
          <m:t>j</m:t>
        </m:r>
      </m:oMath>
      <w:r w:rsidRPr="00D91DBF">
        <w:t xml:space="preserve"> [m</w:t>
      </w:r>
      <w:r w:rsidRPr="00D91DBF">
        <w:rPr>
          <w:vertAlign w:val="superscript"/>
        </w:rPr>
        <w:t>2</w:t>
      </w:r>
      <w:r w:rsidRPr="00D91DBF">
        <w:t xml:space="preserve">K/W], </w:t>
      </w:r>
      <w:r w:rsidRPr="00D91DBF">
        <w:rPr>
          <w:position w:val="-14"/>
        </w:rPr>
        <w:object w:dxaOrig="540" w:dyaOrig="400" w14:anchorId="55E7C436">
          <v:shape id="_x0000_i1031" type="#_x0000_t75" style="width:27.75pt;height:20.25pt" o:ole="">
            <v:imagedata r:id="rId22" o:title=""/>
          </v:shape>
          <o:OLEObject Type="Embed" ProgID="Equation.DSMT4" ShapeID="_x0000_i1031" DrawAspect="Content" ObjectID="_1756023469" r:id="rId23"/>
        </w:object>
      </w:r>
      <w:r w:rsidRPr="00D91DBF">
        <w:t xml:space="preserve"> is the </w:t>
      </w:r>
      <w:r w:rsidRPr="00D91DBF">
        <w:rPr>
          <w:rFonts w:eastAsia="Arial Unicode MS"/>
        </w:rPr>
        <w:t>sensible heat gain networked to the indoor air node due to convective sensible internal gains due to occupants, lights and equipment [W],</w:t>
      </w:r>
      <w:r w:rsidRPr="00D91DBF">
        <w:t xml:space="preserve"> </w:t>
      </w:r>
      <w:r w:rsidRPr="00D91DBF">
        <w:rPr>
          <w:position w:val="-14"/>
        </w:rPr>
        <w:object w:dxaOrig="460" w:dyaOrig="400" w14:anchorId="375F32A5">
          <v:shape id="_x0000_i1032" type="#_x0000_t75" style="width:21.75pt;height:20.25pt" o:ole="">
            <v:imagedata r:id="rId24" o:title=""/>
          </v:shape>
          <o:OLEObject Type="Embed" ProgID="Equation.DSMT4" ShapeID="_x0000_i1032" DrawAspect="Content" ObjectID="_1756023470" r:id="rId25"/>
        </w:object>
      </w:r>
      <w:r w:rsidRPr="00D91DBF">
        <w:rPr>
          <w:rFonts w:eastAsia="Arial Unicode MS"/>
          <w:shd w:val="clear" w:color="auto" w:fill="FFFFFF"/>
        </w:rPr>
        <w:t xml:space="preserve"> accounts for infiltration/ventilation thermal load </w:t>
      </w:r>
      <w:r w:rsidRPr="00D91DBF">
        <w:rPr>
          <w:rFonts w:eastAsia="Arial Unicode MS"/>
        </w:rPr>
        <w:t>[W],</w:t>
      </w:r>
      <w:r w:rsidRPr="00D91DBF">
        <w:t xml:space="preserve"> </w:t>
      </w:r>
      <w:r w:rsidRPr="00D91DBF">
        <w:rPr>
          <w:position w:val="-14"/>
        </w:rPr>
        <w:object w:dxaOrig="540" w:dyaOrig="400" w14:anchorId="5A26B46A">
          <v:shape id="_x0000_i1033" type="#_x0000_t75" style="width:27.75pt;height:20.25pt" o:ole="">
            <v:imagedata r:id="rId26" o:title=""/>
          </v:shape>
          <o:OLEObject Type="Embed" ProgID="Equation.DSMT4" ShapeID="_x0000_i1033" DrawAspect="Content" ObjectID="_1756023471" r:id="rId27"/>
        </w:object>
      </w:r>
      <w:r w:rsidRPr="00D91DBF">
        <w:t xml:space="preserve"> is the </w:t>
      </w:r>
      <w:r w:rsidRPr="00D91DBF">
        <w:rPr>
          <w:rFonts w:eastAsia="Arial Unicode MS"/>
        </w:rPr>
        <w:t xml:space="preserve">sensible heat supplied to or removed from the building space by the HVAC system to maintain the indoor air at the desired set point temperature [W]. </w:t>
      </w:r>
    </w:p>
    <w:p w14:paraId="3A49382F" w14:textId="407F865B" w:rsidR="004B1B66" w:rsidRPr="00D91DBF" w:rsidRDefault="004B1B66" w:rsidP="00223DCE">
      <w:pPr>
        <w:pStyle w:val="Paragrafoelenco"/>
        <w:numPr>
          <w:ilvl w:val="1"/>
          <w:numId w:val="7"/>
        </w:numPr>
        <w:jc w:val="both"/>
        <w:rPr>
          <w:i/>
          <w:iCs/>
        </w:rPr>
      </w:pPr>
      <w:r w:rsidRPr="00D91DBF">
        <w:rPr>
          <w:i/>
          <w:iCs/>
        </w:rPr>
        <w:t>Occupancy influence</w:t>
      </w:r>
    </w:p>
    <w:p w14:paraId="25FD3B57" w14:textId="2BEBA03B" w:rsidR="004B1B66" w:rsidRPr="00D91DBF" w:rsidRDefault="004B1B66" w:rsidP="00A522ED">
      <w:pPr>
        <w:jc w:val="both"/>
      </w:pPr>
      <w:r w:rsidRPr="00D91DBF">
        <w:t>The occupancy is an important factor when considering building applications</w:t>
      </w:r>
      <w:r w:rsidR="005A53BF" w:rsidRPr="00D91DBF">
        <w:t>, especially for institutional ones</w:t>
      </w:r>
      <w:r w:rsidRPr="00D91DBF">
        <w:t xml:space="preserve">. The effect is mainly related to the set point used in the environment. Therefore, in commercial and institutional buildings the occupancy is highly impacting the internal gains. </w:t>
      </w:r>
      <w:r w:rsidR="003E6D70" w:rsidRPr="00D91DBF">
        <w:t>The developed model allows to take into account of the effects of the occupants directly by considering a convective heating quota inside the previous formulation</w:t>
      </w:r>
      <w:r w:rsidRPr="00D91DBF">
        <w:t xml:space="preserve">. </w:t>
      </w:r>
    </w:p>
    <w:p w14:paraId="7EDA5164" w14:textId="66D6BECD" w:rsidR="004B1B66" w:rsidRPr="00D91DBF" w:rsidRDefault="004B1B66" w:rsidP="00223DCE">
      <w:pPr>
        <w:pStyle w:val="Paragrafoelenco"/>
        <w:numPr>
          <w:ilvl w:val="1"/>
          <w:numId w:val="7"/>
        </w:numPr>
        <w:jc w:val="both"/>
        <w:rPr>
          <w:i/>
          <w:iCs/>
        </w:rPr>
      </w:pPr>
      <w:r w:rsidRPr="00D91DBF">
        <w:rPr>
          <w:i/>
          <w:iCs/>
        </w:rPr>
        <w:lastRenderedPageBreak/>
        <w:t>Ventilation and floor heating modelling</w:t>
      </w:r>
    </w:p>
    <w:p w14:paraId="187172E6" w14:textId="77777777" w:rsidR="004B1B66" w:rsidRPr="00D91DBF" w:rsidRDefault="004B1B66" w:rsidP="00A522ED">
      <w:pPr>
        <w:jc w:val="both"/>
      </w:pPr>
      <w:r w:rsidRPr="00D91DBF">
        <w:t>The ventilation is taken into account with an energy balance to the ventilation system. The amount of energy provided in the environment is evaluated with the following equation:</w:t>
      </w:r>
    </w:p>
    <w:p w14:paraId="5351A7E9" w14:textId="2E3E608C" w:rsidR="004B1B66" w:rsidRPr="00D91DBF" w:rsidRDefault="004B1B66" w:rsidP="00A522ED">
      <w:pPr>
        <w:keepNext/>
        <w:jc w:val="both"/>
      </w:pPr>
      <w:r w:rsidRPr="00D91DBF">
        <w:rPr>
          <w:position w:val="-16"/>
        </w:rPr>
        <w:object w:dxaOrig="3460" w:dyaOrig="440" w14:anchorId="19E4237F">
          <v:shape id="_x0000_i1034" type="#_x0000_t75" style="width:171.75pt;height:24pt" o:ole="">
            <v:imagedata r:id="rId28" o:title=""/>
          </v:shape>
          <o:OLEObject Type="Embed" ProgID="Equation.DSMT4" ShapeID="_x0000_i1034" DrawAspect="Content" ObjectID="_1756023472" r:id="rId29"/>
        </w:object>
      </w:r>
      <w:r w:rsidRPr="00D91DBF">
        <w:t xml:space="preserve">                                                                                        </w:t>
      </w:r>
      <w:r w:rsidR="006529E1" w:rsidRPr="00D91DBF">
        <w:t xml:space="preserve"> </w:t>
      </w:r>
      <w:r w:rsidRPr="00D91DBF">
        <w:t xml:space="preserve">            (</w:t>
      </w:r>
      <w:fldSimple w:instr=" SEQ ( \* ARABIC ">
        <w:r w:rsidR="00AF4D35">
          <w:rPr>
            <w:noProof/>
          </w:rPr>
          <w:t>2</w:t>
        </w:r>
      </w:fldSimple>
      <w:r w:rsidRPr="00D91DBF">
        <w:t>)</w:t>
      </w:r>
    </w:p>
    <w:p w14:paraId="7EA384FC" w14:textId="4BBF67A2" w:rsidR="004B1B66" w:rsidRPr="00D91DBF" w:rsidRDefault="004B1B66" w:rsidP="00A522ED">
      <w:pPr>
        <w:jc w:val="both"/>
      </w:pPr>
      <w:r w:rsidRPr="00D91DBF">
        <w:t xml:space="preserve">Where </w:t>
      </w:r>
      <w:r w:rsidRPr="00D91DBF">
        <w:rPr>
          <w:position w:val="-12"/>
        </w:rPr>
        <w:object w:dxaOrig="480" w:dyaOrig="360" w14:anchorId="60328292">
          <v:shape id="_x0000_i1035" type="#_x0000_t75" style="width:24pt;height:18.75pt" o:ole="">
            <v:imagedata r:id="rId30" o:title=""/>
          </v:shape>
          <o:OLEObject Type="Embed" ProgID="Equation.DSMT4" ShapeID="_x0000_i1035" DrawAspect="Content" ObjectID="_1756023473" r:id="rId31"/>
        </w:object>
      </w:r>
      <w:r w:rsidRPr="00D91DBF">
        <w:t xml:space="preserve"> is the flow rate circulating in the fan coil and delivered to the thermal zone, </w:t>
      </w:r>
      <w:r w:rsidRPr="00D91DBF">
        <w:rPr>
          <w:position w:val="-14"/>
        </w:rPr>
        <w:object w:dxaOrig="480" w:dyaOrig="380" w14:anchorId="0CC8072A">
          <v:shape id="_x0000_i1036" type="#_x0000_t75" style="width:24pt;height:18.75pt" o:ole="">
            <v:imagedata r:id="rId32" o:title=""/>
          </v:shape>
          <o:OLEObject Type="Embed" ProgID="Equation.DSMT4" ShapeID="_x0000_i1036" DrawAspect="Content" ObjectID="_1756023474" r:id="rId33"/>
        </w:object>
      </w:r>
      <w:r w:rsidRPr="00D91DBF">
        <w:t xml:space="preserve"> is the specific capacity of the air [J/kgK], </w:t>
      </w:r>
      <w:r w:rsidRPr="00D91DBF">
        <w:rPr>
          <w:position w:val="-14"/>
        </w:rPr>
        <w:object w:dxaOrig="880" w:dyaOrig="380" w14:anchorId="70C78DDA">
          <v:shape id="_x0000_i1037" type="#_x0000_t75" style="width:44.25pt;height:18.75pt" o:ole="">
            <v:imagedata r:id="rId34" o:title=""/>
          </v:shape>
          <o:OLEObject Type="Embed" ProgID="Equation.DSMT4" ShapeID="_x0000_i1037" DrawAspect="Content" ObjectID="_1756023475" r:id="rId35"/>
        </w:object>
      </w:r>
      <w:r w:rsidRPr="00D91DBF">
        <w:t xml:space="preserve"> is the temperature at the outlet of the fan coil, </w:t>
      </w:r>
      <w:r w:rsidRPr="00D91DBF">
        <w:rPr>
          <w:position w:val="-12"/>
        </w:rPr>
        <w:object w:dxaOrig="440" w:dyaOrig="360" w14:anchorId="3299DBDB">
          <v:shape id="_x0000_i1038" type="#_x0000_t75" style="width:24pt;height:18.75pt" o:ole="">
            <v:imagedata r:id="rId36" o:title=""/>
          </v:shape>
          <o:OLEObject Type="Embed" ProgID="Equation.DSMT4" ShapeID="_x0000_i1038" DrawAspect="Content" ObjectID="_1756023476" r:id="rId37"/>
        </w:object>
      </w:r>
      <w:r w:rsidRPr="00D91DBF">
        <w:t xml:space="preserve"> is the temperature of the thermal zone.</w:t>
      </w:r>
      <w:r w:rsidR="00314627" w:rsidRPr="00D91DBF">
        <w:t xml:space="preserve"> For simplicity, this measurement is provided directly in [W], in the input file.</w:t>
      </w:r>
    </w:p>
    <w:p w14:paraId="4C0463EF" w14:textId="6DB223D5" w:rsidR="004B1B66" w:rsidRPr="00D91DBF" w:rsidRDefault="004B1B66" w:rsidP="00A522ED">
      <w:pPr>
        <w:jc w:val="both"/>
      </w:pPr>
      <w:r w:rsidRPr="00D91DBF">
        <w:t xml:space="preserve">Instead, the floor heating is modelled using a lumped parameter approach </w:t>
      </w:r>
      <w:r w:rsidRPr="00D91DBF">
        <w:fldChar w:fldCharType="begin"/>
      </w:r>
      <w:r w:rsidRPr="00D91DBF">
        <w:instrText xml:space="preserve"> ADDIN EN.CITE &lt;EndNote&gt;&lt;Cite&gt;&lt;Author&gt;Athienitis&lt;/Author&gt;&lt;Year&gt;2015&lt;/Year&gt;&lt;RecNum&gt;3&lt;/RecNum&gt;&lt;DisplayText&gt;[3]&lt;/DisplayText&gt;&lt;record&gt;&lt;rec-number&gt;3&lt;/rec-number&gt;&lt;foreign-keys&gt;&lt;key app="EN" db-id="v9pdfs9f5ddafqe2evl52rvoxppzfa22f95w" timestamp="1680210878"&gt;3&lt;/key&gt;&lt;/foreign-keys&gt;&lt;ref-type name="Book"&gt;6&lt;/ref-type&gt;&lt;contributors&gt;&lt;authors&gt;&lt;author&gt;Athienitis, Andreas&lt;/author&gt;&lt;author&gt;O&amp;apos;Brien, William&lt;/author&gt;&lt;/authors&gt;&lt;/contributors&gt;&lt;titles&gt;&lt;title&gt;Modeling, design, and optimization of net-zero energy buildings&lt;/title&gt;&lt;/titles&gt;&lt;dates&gt;&lt;year&gt;2015&lt;/year&gt;&lt;/dates&gt;&lt;publisher&gt;John Wiley &amp;amp; Sons&lt;/publisher&gt;&lt;isbn&gt;3433604630&lt;/isbn&gt;&lt;urls&gt;&lt;/urls&gt;&lt;/record&gt;&lt;/Cite&gt;&lt;/EndNote&gt;</w:instrText>
      </w:r>
      <w:r w:rsidRPr="00D91DBF">
        <w:fldChar w:fldCharType="separate"/>
      </w:r>
      <w:r w:rsidRPr="00D91DBF">
        <w:rPr>
          <w:noProof/>
        </w:rPr>
        <w:t>[3]</w:t>
      </w:r>
      <w:r w:rsidRPr="00D91DBF">
        <w:fldChar w:fldCharType="end"/>
      </w:r>
      <w:r w:rsidRPr="00D91DBF">
        <w:t xml:space="preserve">. With this method it is possible </w:t>
      </w:r>
      <w:r w:rsidR="007B6825" w:rsidRPr="00D91DBF">
        <w:t xml:space="preserve">to </w:t>
      </w:r>
      <w:r w:rsidRPr="00D91DBF">
        <w:t xml:space="preserve">calculate the amount of energy stored in the floor and released to the environment. Hence, the thermal zones characterized by the floor heating </w:t>
      </w:r>
      <w:r w:rsidR="00824CE1" w:rsidRPr="00D91DBF">
        <w:t xml:space="preserve">are equipped with </w:t>
      </w:r>
      <w:r w:rsidRPr="00D91DBF">
        <w:t xml:space="preserve">another </w:t>
      </w:r>
      <w:r w:rsidR="00EA23BB">
        <w:t xml:space="preserve">capacitive </w:t>
      </w:r>
      <w:r w:rsidRPr="00D91DBF">
        <w:t xml:space="preserve">node </w:t>
      </w:r>
      <w:r w:rsidR="00824CE1" w:rsidRPr="00D91DBF">
        <w:t>which considers the interaction between the air and the thermal mass</w:t>
      </w:r>
      <w:r w:rsidRPr="00D91DBF">
        <w:t>.</w:t>
      </w:r>
      <w:r w:rsidR="00824CE1" w:rsidRPr="00D91DBF">
        <w:t xml:space="preserve"> </w:t>
      </w:r>
    </w:p>
    <w:p w14:paraId="2F798B6A" w14:textId="59D9E819" w:rsidR="00BB63E1" w:rsidRPr="00D91DBF" w:rsidRDefault="00744AD7" w:rsidP="00A522ED">
      <w:pPr>
        <w:jc w:val="both"/>
      </w:pPr>
      <w:r w:rsidRPr="00D91DBF">
        <w:t>I</w:t>
      </w:r>
      <w:r w:rsidR="00BB63E1" w:rsidRPr="00D91DBF">
        <w:t xml:space="preserve">t should be noted that convective and radiative heat transfer are inherently nonlinear processes and the respective heat transfer coefficients are usually linearized so that the system energy balance equations can be solved by direct linear algebra techniques and possibly represented by a linear thermal network. </w:t>
      </w:r>
      <w:r w:rsidRPr="00D91DBF">
        <w:t>Therefore, i</w:t>
      </w:r>
      <w:r w:rsidR="00BB63E1" w:rsidRPr="00D91DBF">
        <w:t xml:space="preserve">n this </w:t>
      </w:r>
      <w:r w:rsidRPr="00D91DBF">
        <w:t>study</w:t>
      </w:r>
      <w:r w:rsidR="00BB63E1" w:rsidRPr="00D91DBF">
        <w:t xml:space="preserve"> </w:t>
      </w:r>
      <w:r w:rsidRPr="00D91DBF">
        <w:t>it is</w:t>
      </w:r>
      <w:r w:rsidR="00BB63E1" w:rsidRPr="00D91DBF">
        <w:t xml:space="preserve"> consider</w:t>
      </w:r>
      <w:r w:rsidRPr="00D91DBF">
        <w:t>ed</w:t>
      </w:r>
      <w:r w:rsidR="00BB63E1" w:rsidRPr="00D91DBF">
        <w:t xml:space="preserve"> a constant value of this coefficient</w:t>
      </w:r>
      <w:r w:rsidR="00B70C32" w:rsidRPr="00D91DBF">
        <w:t>.</w:t>
      </w:r>
    </w:p>
    <w:p w14:paraId="0979A212" w14:textId="28E0F950" w:rsidR="0025234A" w:rsidRPr="00D91DBF" w:rsidRDefault="00B70C32" w:rsidP="00223DCE">
      <w:pPr>
        <w:pStyle w:val="Paragrafoelenco"/>
        <w:numPr>
          <w:ilvl w:val="1"/>
          <w:numId w:val="7"/>
        </w:numPr>
        <w:jc w:val="both"/>
        <w:rPr>
          <w:i/>
          <w:iCs/>
        </w:rPr>
      </w:pPr>
      <w:r w:rsidRPr="00D91DBF">
        <w:rPr>
          <w:i/>
          <w:iCs/>
        </w:rPr>
        <w:t>Model archetypes</w:t>
      </w:r>
    </w:p>
    <w:p w14:paraId="5370A960" w14:textId="20A7C0CD" w:rsidR="00B70C32" w:rsidRPr="00D91DBF" w:rsidRDefault="00B70C32" w:rsidP="00B70C32">
      <w:pPr>
        <w:jc w:val="both"/>
      </w:pPr>
      <w:r w:rsidRPr="00D91DBF">
        <w:t xml:space="preserve">The structure of the model refers to a combination of different model archetypes which model the building dynamic by floor and dividing it according to its orientation. Several studies demonstrate that by using this level of resolution it is possible to follow the building dynamic and have information on the building load with good accuracy </w:t>
      </w:r>
      <w:r w:rsidRPr="00D91DBF">
        <w:fldChar w:fldCharType="begin"/>
      </w:r>
      <w:r w:rsidRPr="00D91DBF">
        <w:instrText xml:space="preserve"> ADDIN EN.CITE &lt;EndNote&gt;&lt;Cite&gt;&lt;Author&gt;Candanedo&lt;/Author&gt;&lt;Year&gt;2022&lt;/Year&gt;&lt;RecNum&gt;17&lt;/RecNum&gt;&lt;DisplayText&gt;[1]&lt;/DisplayText&gt;&lt;record&gt;&lt;rec-number&gt;17&lt;/rec-number&gt;&lt;foreign-keys&gt;&lt;key app="EN" db-id="v9pdfs9f5ddafqe2evl52rvoxppzfa22f95w" timestamp="1680210878"&gt;17&lt;/key&gt;&lt;/foreign-keys&gt;&lt;ref-type name="Journal Article"&gt;17&lt;/ref-type&gt;&lt;contributors&gt;&lt;authors&gt;&lt;author&gt;Candanedo, José A&lt;/author&gt;&lt;author&gt;Vallianos, Charalampos&lt;/author&gt;&lt;author&gt;Delcroix, Benoit&lt;/author&gt;&lt;author&gt;Date, Jennifer&lt;/author&gt;&lt;author&gt;Saberi Derakhtenjani, Ali&lt;/author&gt;&lt;author&gt;Morovat, Navid&lt;/author&gt;&lt;author&gt;John, Camille&lt;/author&gt;&lt;author&gt;Athienitis, Andreas K %J Journal of Building Performance Simulation&lt;/author&gt;&lt;/authors&gt;&lt;/contributors&gt;&lt;titles&gt;&lt;title&gt;Control-oriented archetypes: a pathway for the systematic application of advanced controls in buildings&lt;/title&gt;&lt;/titles&gt;&lt;pages&gt;1-12&lt;/pages&gt;&lt;dates&gt;&lt;year&gt;2022&lt;/year&gt;&lt;/dates&gt;&lt;isbn&gt;1940-1493&lt;/isbn&gt;&lt;urls&gt;&lt;/urls&gt;&lt;/record&gt;&lt;/Cite&gt;&lt;/EndNote&gt;</w:instrText>
      </w:r>
      <w:r w:rsidRPr="00D91DBF">
        <w:fldChar w:fldCharType="separate"/>
      </w:r>
      <w:r w:rsidRPr="00D91DBF">
        <w:rPr>
          <w:noProof/>
        </w:rPr>
        <w:t>[1]</w:t>
      </w:r>
      <w:r w:rsidRPr="00D91DBF">
        <w:fldChar w:fldCharType="end"/>
      </w:r>
      <w:r w:rsidRPr="00D91DBF">
        <w:t>.</w:t>
      </w:r>
    </w:p>
    <w:p w14:paraId="71890A5F" w14:textId="2F1EAD38" w:rsidR="00C22D3A" w:rsidRPr="00D91DBF" w:rsidRDefault="00C22D3A" w:rsidP="00B70C32">
      <w:pPr>
        <w:jc w:val="both"/>
      </w:pPr>
      <w:r w:rsidRPr="00D91DBF">
        <w:t>The model related to the first and second floor of the library are described in the following figures.</w:t>
      </w:r>
      <w:r w:rsidR="00D0045C">
        <w:t xml:space="preserve"> Together they form a 5C6R RC network.</w:t>
      </w:r>
    </w:p>
    <w:p w14:paraId="0FE85999" w14:textId="772260BB" w:rsidR="00851FA8" w:rsidRPr="00D91DBF" w:rsidRDefault="00C039A3" w:rsidP="00851FA8">
      <w:pPr>
        <w:jc w:val="center"/>
      </w:pPr>
      <w:r w:rsidRPr="00D91DBF">
        <w:rPr>
          <w:bCs w:val="0"/>
          <w:noProof/>
        </w:rPr>
        <w:drawing>
          <wp:inline distT="0" distB="0" distL="0" distR="0" wp14:anchorId="7CDA01B5" wp14:editId="1362B5D5">
            <wp:extent cx="4968240" cy="1535590"/>
            <wp:effectExtent l="0" t="0" r="0" b="0"/>
            <wp:docPr id="1850869738" name="Immagine 4" descr="Immagine che contiene cerchio, schermata, nero, lu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69738" name="Immagine 4" descr="Immagine che contiene cerchio, schermata, nero, luna&#10;&#10;Descrizione generata automa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968240" cy="1535590"/>
                    </a:xfrm>
                    <a:prstGeom prst="rect">
                      <a:avLst/>
                    </a:prstGeom>
                    <a:noFill/>
                    <a:ln>
                      <a:noFill/>
                    </a:ln>
                  </pic:spPr>
                </pic:pic>
              </a:graphicData>
            </a:graphic>
          </wp:inline>
        </w:drawing>
      </w:r>
    </w:p>
    <w:p w14:paraId="378591FC" w14:textId="46783FEF" w:rsidR="001F2D64" w:rsidRPr="00D91DBF" w:rsidRDefault="00C039A3" w:rsidP="001F2D64">
      <w:pPr>
        <w:keepNext/>
        <w:jc w:val="center"/>
      </w:pPr>
      <w:r w:rsidRPr="00D91DBF">
        <w:rPr>
          <w:bCs w:val="0"/>
          <w:noProof/>
        </w:rPr>
        <w:lastRenderedPageBreak/>
        <w:drawing>
          <wp:inline distT="0" distB="0" distL="0" distR="0" wp14:anchorId="5E6431B7" wp14:editId="55CE0740">
            <wp:extent cx="5943600" cy="2185035"/>
            <wp:effectExtent l="0" t="0" r="0" b="0"/>
            <wp:docPr id="163899237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43600" cy="2185035"/>
                    </a:xfrm>
                    <a:prstGeom prst="rect">
                      <a:avLst/>
                    </a:prstGeom>
                    <a:noFill/>
                    <a:ln>
                      <a:noFill/>
                    </a:ln>
                  </pic:spPr>
                </pic:pic>
              </a:graphicData>
            </a:graphic>
          </wp:inline>
        </w:drawing>
      </w:r>
    </w:p>
    <w:p w14:paraId="5AF6828A" w14:textId="7791DD90" w:rsidR="001F2D64" w:rsidRPr="00D91DBF" w:rsidRDefault="001F2D64" w:rsidP="001F2D64">
      <w:pPr>
        <w:pStyle w:val="Didascalia"/>
        <w:jc w:val="center"/>
        <w:rPr>
          <w:rFonts w:ascii="Times New Roman" w:hAnsi="Times New Roman" w:cs="Times New Roman"/>
          <w:i w:val="0"/>
          <w:iCs w:val="0"/>
          <w:color w:val="auto"/>
          <w:sz w:val="22"/>
          <w:szCs w:val="22"/>
        </w:rPr>
      </w:pPr>
      <w:r w:rsidRPr="00D91DBF">
        <w:rPr>
          <w:rFonts w:ascii="Times New Roman" w:hAnsi="Times New Roman" w:cs="Times New Roman"/>
          <w:i w:val="0"/>
          <w:iCs w:val="0"/>
          <w:color w:val="auto"/>
          <w:sz w:val="22"/>
          <w:szCs w:val="22"/>
        </w:rPr>
        <w:t xml:space="preserve">Figure </w:t>
      </w:r>
      <w:r w:rsidRPr="00D91DBF">
        <w:rPr>
          <w:rFonts w:ascii="Times New Roman" w:hAnsi="Times New Roman" w:cs="Times New Roman"/>
          <w:i w:val="0"/>
          <w:iCs w:val="0"/>
          <w:color w:val="auto"/>
          <w:sz w:val="22"/>
          <w:szCs w:val="22"/>
        </w:rPr>
        <w:fldChar w:fldCharType="begin"/>
      </w:r>
      <w:r w:rsidRPr="00D91DBF">
        <w:rPr>
          <w:rFonts w:ascii="Times New Roman" w:hAnsi="Times New Roman" w:cs="Times New Roman"/>
          <w:i w:val="0"/>
          <w:iCs w:val="0"/>
          <w:color w:val="auto"/>
          <w:sz w:val="22"/>
          <w:szCs w:val="22"/>
        </w:rPr>
        <w:instrText xml:space="preserve"> SEQ Figure \* ARABIC </w:instrText>
      </w:r>
      <w:r w:rsidRPr="00D91DBF">
        <w:rPr>
          <w:rFonts w:ascii="Times New Roman" w:hAnsi="Times New Roman" w:cs="Times New Roman"/>
          <w:i w:val="0"/>
          <w:iCs w:val="0"/>
          <w:color w:val="auto"/>
          <w:sz w:val="22"/>
          <w:szCs w:val="22"/>
        </w:rPr>
        <w:fldChar w:fldCharType="separate"/>
      </w:r>
      <w:r w:rsidR="00AF4D35">
        <w:rPr>
          <w:rFonts w:ascii="Times New Roman" w:hAnsi="Times New Roman" w:cs="Times New Roman"/>
          <w:i w:val="0"/>
          <w:iCs w:val="0"/>
          <w:noProof/>
          <w:color w:val="auto"/>
          <w:sz w:val="22"/>
          <w:szCs w:val="22"/>
        </w:rPr>
        <w:t>2</w:t>
      </w:r>
      <w:r w:rsidRPr="00D91DBF">
        <w:rPr>
          <w:rFonts w:ascii="Times New Roman" w:hAnsi="Times New Roman" w:cs="Times New Roman"/>
          <w:i w:val="0"/>
          <w:iCs w:val="0"/>
          <w:color w:val="auto"/>
          <w:sz w:val="22"/>
          <w:szCs w:val="22"/>
        </w:rPr>
        <w:fldChar w:fldCharType="end"/>
      </w:r>
      <w:r w:rsidRPr="00D91DBF">
        <w:rPr>
          <w:rFonts w:ascii="Times New Roman" w:hAnsi="Times New Roman" w:cs="Times New Roman"/>
          <w:i w:val="0"/>
          <w:iCs w:val="0"/>
          <w:color w:val="auto"/>
          <w:sz w:val="22"/>
          <w:szCs w:val="22"/>
        </w:rPr>
        <w:t>: RC networks for the first and second floor.</w:t>
      </w:r>
    </w:p>
    <w:p w14:paraId="0F745EF3" w14:textId="77777777" w:rsidR="0025234A" w:rsidRPr="00D91DBF" w:rsidRDefault="0025234A" w:rsidP="0025234A">
      <w:pPr>
        <w:jc w:val="both"/>
      </w:pPr>
    </w:p>
    <w:p w14:paraId="29D33681" w14:textId="3BE40E60" w:rsidR="00A522ED" w:rsidRPr="00D91DBF" w:rsidRDefault="00A522ED" w:rsidP="00223DCE">
      <w:pPr>
        <w:pStyle w:val="Paragrafoelenco"/>
        <w:numPr>
          <w:ilvl w:val="0"/>
          <w:numId w:val="7"/>
        </w:numPr>
        <w:jc w:val="both"/>
        <w:rPr>
          <w:b/>
          <w:bCs w:val="0"/>
        </w:rPr>
      </w:pPr>
      <w:r w:rsidRPr="00D91DBF">
        <w:rPr>
          <w:b/>
          <w:bCs w:val="0"/>
        </w:rPr>
        <w:t>Calibration</w:t>
      </w:r>
      <w:r w:rsidR="006D0437" w:rsidRPr="00D91DBF">
        <w:rPr>
          <w:b/>
          <w:bCs w:val="0"/>
        </w:rPr>
        <w:t xml:space="preserve"> and validation</w:t>
      </w:r>
    </w:p>
    <w:p w14:paraId="7929829F" w14:textId="199B98B5" w:rsidR="0079485B" w:rsidRPr="00D91DBF" w:rsidRDefault="00A522ED" w:rsidP="00A522ED">
      <w:pPr>
        <w:jc w:val="both"/>
      </w:pPr>
      <w:r w:rsidRPr="00D91DBF">
        <w:t xml:space="preserve">The model is calibrated with </w:t>
      </w:r>
      <w:r w:rsidR="001038AF" w:rsidRPr="00D91DBF">
        <w:t>measurement from the thermostats placed</w:t>
      </w:r>
      <w:r w:rsidRPr="00D91DBF">
        <w:t xml:space="preserve"> the library. </w:t>
      </w:r>
      <w:r w:rsidR="0079485B" w:rsidRPr="00D91DBF">
        <w:t>The inputs are provided in an associated file which is generated by lumping some thermal zones of the library in single nodes. The lumping approach</w:t>
      </w:r>
      <w:r w:rsidR="00725DA0" w:rsidRPr="00D91DBF">
        <w:t>, for the thermal zone and slab temperatures,</w:t>
      </w:r>
      <w:r w:rsidR="0079485B" w:rsidRPr="00D91DBF">
        <w:t xml:space="preserve"> is </w:t>
      </w:r>
      <w:r w:rsidR="00725DA0" w:rsidRPr="00D91DBF">
        <w:t xml:space="preserve">obtained by averaging the </w:t>
      </w:r>
      <w:r w:rsidR="0079485B" w:rsidRPr="00D91DBF">
        <w:t>measurement</w:t>
      </w:r>
      <w:r w:rsidR="00725DA0" w:rsidRPr="00D91DBF">
        <w:t xml:space="preserve"> by area</w:t>
      </w:r>
      <w:r w:rsidR="0079485B" w:rsidRPr="00D91DBF">
        <w:t xml:space="preserve">. </w:t>
      </w:r>
    </w:p>
    <w:p w14:paraId="164029BE" w14:textId="245F5104" w:rsidR="006D0437" w:rsidRPr="00D91DBF" w:rsidRDefault="00A522ED" w:rsidP="00A522ED">
      <w:pPr>
        <w:jc w:val="both"/>
      </w:pPr>
      <w:r w:rsidRPr="00D91DBF">
        <w:t xml:space="preserve">The optimization routine is executed by using a MATLAB function, </w:t>
      </w:r>
      <w:r w:rsidRPr="00D91DBF">
        <w:rPr>
          <w:i/>
          <w:iCs/>
        </w:rPr>
        <w:t>fmincon</w:t>
      </w:r>
      <w:r w:rsidRPr="00D91DBF">
        <w:t xml:space="preserve">, a non-linear programming solver that finds the minimum of a specified function. The algorithm is highly influenced by the initial condition; thus, the optimization process is combined with a constrained Latin Hypercube Sampling </w:t>
      </w:r>
      <w:r w:rsidRPr="00D91DBF">
        <w:fldChar w:fldCharType="begin"/>
      </w:r>
      <w:r w:rsidRPr="00D91DBF">
        <w:instrText xml:space="preserve"> ADDIN EN.CITE &lt;EndNote&gt;&lt;Cite&gt;&lt;Author&gt;Petelet&lt;/Author&gt;&lt;Year&gt;2010&lt;/Year&gt;&lt;RecNum&gt;43&lt;/RecNum&gt;&lt;DisplayText&gt;[14]&lt;/DisplayText&gt;&lt;record&gt;&lt;rec-number&gt;43&lt;/rec-number&gt;&lt;foreign-keys&gt;&lt;key app="EN" db-id="vfv5a2vrm200e6evpd8xd5t6fraexdfzf52p" timestamp="1672154057"&gt;43&lt;/key&gt;&lt;/foreign-keys&gt;&lt;ref-type name="Journal Article"&gt;17&lt;/ref-type&gt;&lt;contributors&gt;&lt;authors&gt;&lt;author&gt;Petelet, Matthieu&lt;/author&gt;&lt;author&gt;Iooss, Bertrand&lt;/author&gt;&lt;author&gt;Asserin, Olivier&lt;/author&gt;&lt;author&gt;Loredo, Alexandre&lt;/author&gt;&lt;/authors&gt;&lt;/contributors&gt;&lt;titles&gt;&lt;title&gt;Latin hypercube sampling with inequality constraints&lt;/title&gt;&lt;secondary-title&gt;AStA Advances in Statistical Analysis&lt;/secondary-title&gt;&lt;/titles&gt;&lt;periodical&gt;&lt;full-title&gt;AStA Advances in Statistical Analysis&lt;/full-title&gt;&lt;/periodical&gt;&lt;pages&gt;325-339&lt;/pages&gt;&lt;volume&gt;94&lt;/volume&gt;&lt;number&gt;4&lt;/number&gt;&lt;dates&gt;&lt;year&gt;2010&lt;/year&gt;&lt;/dates&gt;&lt;isbn&gt;1863-818X&lt;/isbn&gt;&lt;urls&gt;&lt;/urls&gt;&lt;/record&gt;&lt;/Cite&gt;&lt;/EndNote&gt;</w:instrText>
      </w:r>
      <w:r w:rsidRPr="00D91DBF">
        <w:fldChar w:fldCharType="separate"/>
      </w:r>
      <w:r w:rsidRPr="00D91DBF">
        <w:rPr>
          <w:noProof/>
        </w:rPr>
        <w:t>[14]</w:t>
      </w:r>
      <w:r w:rsidRPr="00D91DBF">
        <w:fldChar w:fldCharType="end"/>
      </w:r>
      <w:r w:rsidRPr="00D91DBF">
        <w:t xml:space="preserve">. However, the selection of the building model and the identification of the parameters is affected by the end use of the model. If the purpose is </w:t>
      </w:r>
      <w:r w:rsidR="009C50ED" w:rsidRPr="00D91DBF">
        <w:t xml:space="preserve">model </w:t>
      </w:r>
      <w:r w:rsidRPr="00D91DBF">
        <w:t>predictive control</w:t>
      </w:r>
      <w:r w:rsidR="009C50ED" w:rsidRPr="00D91DBF">
        <w:t xml:space="preserve"> (MPC)</w:t>
      </w:r>
      <w:r w:rsidRPr="00D91DBF">
        <w:t>, the performance of the model over the prediction horizon is of the highest concern.</w:t>
      </w:r>
      <w:r w:rsidR="006D0437" w:rsidRPr="00D91DBF">
        <w:t xml:space="preserve"> The </w:t>
      </w:r>
      <w:r w:rsidR="009C50ED" w:rsidRPr="00D91DBF">
        <w:t>MPC relevant identification (</w:t>
      </w:r>
      <w:r w:rsidR="006D0437" w:rsidRPr="00D91DBF">
        <w:t>MRI</w:t>
      </w:r>
      <w:r w:rsidR="009C50ED" w:rsidRPr="00D91DBF">
        <w:t>)</w:t>
      </w:r>
      <w:r w:rsidR="006D0437" w:rsidRPr="00D91DBF">
        <w:t xml:space="preserve"> method is used to calibrate the model parameters.</w:t>
      </w:r>
      <w:r w:rsidRPr="00D91DBF">
        <w:t xml:space="preserve"> </w:t>
      </w:r>
      <w:r w:rsidR="009C50ED" w:rsidRPr="00D91DBF">
        <w:t>This method is based on the minimization of the following cost function:</w:t>
      </w:r>
    </w:p>
    <w:p w14:paraId="47B0F173" w14:textId="33514978" w:rsidR="009C50ED" w:rsidRPr="00D91DBF" w:rsidRDefault="000560FB" w:rsidP="004074E3">
      <w:pPr>
        <w:pStyle w:val="Didascalia"/>
        <w:jc w:val="both"/>
        <w:rPr>
          <w:rFonts w:ascii="Times New Roman" w:eastAsiaTheme="minorEastAsia" w:hAnsi="Times New Roman" w:cs="Times New Roman"/>
          <w:i w:val="0"/>
          <w:color w:val="auto"/>
          <w:sz w:val="24"/>
          <w:szCs w:val="24"/>
        </w:rPr>
      </w:pPr>
      <m:oMath>
        <m:r>
          <w:rPr>
            <w:rFonts w:ascii="Cambria Math" w:hAnsi="Cambria Math" w:cs="Times New Roman"/>
            <w:color w:val="auto"/>
            <w:sz w:val="24"/>
            <w:szCs w:val="24"/>
          </w:rPr>
          <m:t>J</m:t>
        </m:r>
        <m:d>
          <m:dPr>
            <m:ctrlPr>
              <w:rPr>
                <w:rFonts w:ascii="Cambria Math" w:hAnsi="Cambria Math" w:cs="Times New Roman"/>
                <w:color w:val="auto"/>
                <w:sz w:val="24"/>
                <w:szCs w:val="24"/>
              </w:rPr>
            </m:ctrlPr>
          </m:dPr>
          <m:e>
            <m:r>
              <w:rPr>
                <w:rFonts w:ascii="Cambria Math" w:hAnsi="Cambria Math" w:cs="Times New Roman"/>
                <w:color w:val="auto"/>
                <w:sz w:val="24"/>
                <w:szCs w:val="24"/>
              </w:rPr>
              <m:t>k</m:t>
            </m:r>
          </m:e>
        </m:d>
        <m:r>
          <w:rPr>
            <w:rFonts w:ascii="Cambria Math" w:hAnsi="Cambria Math" w:cs="Times New Roman"/>
            <w:color w:val="auto"/>
            <w:sz w:val="24"/>
            <w:szCs w:val="24"/>
          </w:rPr>
          <m:t>=</m:t>
        </m:r>
        <m:nary>
          <m:naryPr>
            <m:chr m:val="∑"/>
            <m:limLoc m:val="undOvr"/>
            <m:ctrlPr>
              <w:rPr>
                <w:rFonts w:ascii="Cambria Math" w:hAnsi="Cambria Math" w:cs="Times New Roman"/>
                <w:bCs/>
                <w:color w:val="auto"/>
                <w:kern w:val="2"/>
                <w:sz w:val="24"/>
                <w:szCs w:val="24"/>
                <w14:ligatures w14:val="standardContextual"/>
              </w:rPr>
            </m:ctrlPr>
          </m:naryPr>
          <m:sub>
            <m:r>
              <w:rPr>
                <w:rFonts w:ascii="Cambria Math" w:hAnsi="Cambria Math" w:cs="Times New Roman"/>
                <w:color w:val="auto"/>
                <w:sz w:val="24"/>
                <w:szCs w:val="24"/>
              </w:rPr>
              <m:t>j=1</m:t>
            </m:r>
          </m:sub>
          <m:sup>
            <m:r>
              <w:rPr>
                <w:rFonts w:ascii="Cambria Math" w:hAnsi="Cambria Math" w:cs="Times New Roman"/>
                <w:color w:val="auto"/>
                <w:sz w:val="24"/>
                <w:szCs w:val="24"/>
              </w:rPr>
              <m:t>ph</m:t>
            </m:r>
          </m:sup>
          <m:e>
            <m:sSubSup>
              <m:sSubSupPr>
                <m:ctrlPr>
                  <w:rPr>
                    <w:rFonts w:ascii="Cambria Math" w:hAnsi="Cambria Math" w:cs="Times New Roman"/>
                    <w:bCs/>
                    <w:color w:val="auto"/>
                    <w:kern w:val="2"/>
                    <w:sz w:val="24"/>
                    <w:szCs w:val="24"/>
                    <w14:ligatures w14:val="standardContextual"/>
                  </w:rPr>
                </m:ctrlPr>
              </m:sSubSupPr>
              <m:e>
                <m:d>
                  <m:dPr>
                    <m:begChr m:val="‖"/>
                    <m:endChr m:val="‖"/>
                    <m:ctrlPr>
                      <w:rPr>
                        <w:rFonts w:ascii="Cambria Math" w:hAnsi="Cambria Math" w:cs="Times New Roman"/>
                        <w:bCs/>
                        <w:color w:val="auto"/>
                        <w:kern w:val="2"/>
                        <w:sz w:val="24"/>
                        <w:szCs w:val="24"/>
                        <w14:ligatures w14:val="standardContextual"/>
                      </w:rPr>
                    </m:ctrlPr>
                  </m:dPr>
                  <m:e>
                    <m:sSub>
                      <m:sSubPr>
                        <m:ctrlPr>
                          <w:rPr>
                            <w:rFonts w:ascii="Cambria Math" w:hAnsi="Cambria Math" w:cs="Times New Roman"/>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m</m:t>
                        </m:r>
                      </m:sub>
                    </m:sSub>
                    <m:d>
                      <m:dPr>
                        <m:ctrlPr>
                          <w:rPr>
                            <w:rFonts w:ascii="Cambria Math" w:hAnsi="Cambria Math" w:cs="Times New Roman"/>
                            <w:bCs/>
                            <w:color w:val="auto"/>
                            <w:kern w:val="2"/>
                            <w:sz w:val="24"/>
                            <w:szCs w:val="24"/>
                            <w14:ligatures w14:val="standardContextual"/>
                          </w:rPr>
                        </m:ctrlPr>
                      </m:dPr>
                      <m:e>
                        <m:r>
                          <w:rPr>
                            <w:rFonts w:ascii="Cambria Math" w:hAnsi="Cambria Math" w:cs="Times New Roman"/>
                            <w:color w:val="auto"/>
                            <w:sz w:val="24"/>
                            <w:szCs w:val="24"/>
                          </w:rPr>
                          <m:t>k+j</m:t>
                        </m:r>
                      </m:e>
                    </m:d>
                    <m:r>
                      <w:rPr>
                        <w:rFonts w:ascii="Cambria Math" w:hAnsi="Cambria Math" w:cs="Times New Roman"/>
                        <w:color w:val="auto"/>
                        <w:sz w:val="24"/>
                        <w:szCs w:val="24"/>
                      </w:rPr>
                      <m:t>-</m:t>
                    </m:r>
                    <m:acc>
                      <m:accPr>
                        <m:ctrlPr>
                          <w:rPr>
                            <w:rFonts w:ascii="Cambria Math" w:hAnsi="Cambria Math" w:cs="Times New Roman"/>
                            <w:color w:val="auto"/>
                            <w:sz w:val="24"/>
                            <w:szCs w:val="24"/>
                          </w:rPr>
                        </m:ctrlPr>
                      </m:accPr>
                      <m:e>
                        <m:r>
                          <w:rPr>
                            <w:rFonts w:ascii="Cambria Math" w:hAnsi="Cambria Math" w:cs="Times New Roman"/>
                            <w:color w:val="auto"/>
                            <w:sz w:val="24"/>
                            <w:szCs w:val="24"/>
                          </w:rPr>
                          <m:t>y</m:t>
                        </m:r>
                      </m:e>
                    </m:acc>
                    <m:d>
                      <m:dPr>
                        <m:ctrlPr>
                          <w:rPr>
                            <w:rFonts w:ascii="Cambria Math" w:hAnsi="Cambria Math" w:cs="Times New Roman"/>
                            <w:bCs/>
                            <w:color w:val="auto"/>
                            <w:kern w:val="2"/>
                            <w:sz w:val="24"/>
                            <w:szCs w:val="24"/>
                            <w14:ligatures w14:val="standardContextual"/>
                          </w:rPr>
                        </m:ctrlPr>
                      </m:dPr>
                      <m:e>
                        <m:r>
                          <w:rPr>
                            <w:rFonts w:ascii="Cambria Math" w:hAnsi="Cambria Math" w:cs="Times New Roman"/>
                            <w:color w:val="auto"/>
                            <w:sz w:val="24"/>
                            <w:szCs w:val="24"/>
                          </w:rPr>
                          <m:t>k+j</m:t>
                        </m:r>
                      </m:e>
                    </m:d>
                  </m:e>
                </m:d>
              </m:e>
              <m:sub>
                <m:r>
                  <w:rPr>
                    <w:rFonts w:ascii="Cambria Math" w:hAnsi="Cambria Math" w:cs="Times New Roman"/>
                    <w:color w:val="auto"/>
                    <w:sz w:val="24"/>
                    <w:szCs w:val="24"/>
                  </w:rPr>
                  <m:t>2</m:t>
                </m:r>
              </m:sub>
              <m:sup>
                <m:r>
                  <w:rPr>
                    <w:rFonts w:ascii="Cambria Math" w:hAnsi="Cambria Math" w:cs="Times New Roman"/>
                    <w:color w:val="auto"/>
                    <w:sz w:val="24"/>
                    <w:szCs w:val="24"/>
                  </w:rPr>
                  <m:t>2</m:t>
                </m:r>
              </m:sup>
            </m:sSubSup>
          </m:e>
        </m:nary>
      </m:oMath>
      <w:r w:rsidR="004074E3" w:rsidRPr="00D91DBF">
        <w:rPr>
          <w:rFonts w:ascii="Times New Roman" w:eastAsiaTheme="minorEastAsia" w:hAnsi="Times New Roman" w:cs="Times New Roman"/>
          <w:bCs/>
          <w:i w:val="0"/>
          <w:iCs w:val="0"/>
          <w:color w:val="auto"/>
          <w:kern w:val="2"/>
          <w:sz w:val="24"/>
          <w:szCs w:val="24"/>
          <w14:ligatures w14:val="standardContextual"/>
        </w:rPr>
        <w:t xml:space="preserve">                                                                                          </w:t>
      </w:r>
      <w:r w:rsidR="004074E3" w:rsidRPr="00D91DBF">
        <w:rPr>
          <w:rFonts w:ascii="Times New Roman" w:hAnsi="Times New Roman" w:cs="Times New Roman"/>
          <w:i w:val="0"/>
          <w:iCs w:val="0"/>
          <w:color w:val="auto"/>
          <w:sz w:val="24"/>
          <w:szCs w:val="24"/>
        </w:rPr>
        <w:t>(</w:t>
      </w:r>
      <w:r w:rsidR="004074E3" w:rsidRPr="00D91DBF">
        <w:rPr>
          <w:rFonts w:ascii="Times New Roman" w:hAnsi="Times New Roman" w:cs="Times New Roman"/>
          <w:i w:val="0"/>
          <w:iCs w:val="0"/>
          <w:color w:val="auto"/>
          <w:sz w:val="24"/>
          <w:szCs w:val="24"/>
        </w:rPr>
        <w:fldChar w:fldCharType="begin"/>
      </w:r>
      <w:r w:rsidR="004074E3" w:rsidRPr="00D91DBF">
        <w:rPr>
          <w:rFonts w:ascii="Times New Roman" w:hAnsi="Times New Roman" w:cs="Times New Roman"/>
          <w:i w:val="0"/>
          <w:iCs w:val="0"/>
          <w:color w:val="auto"/>
          <w:sz w:val="24"/>
          <w:szCs w:val="24"/>
        </w:rPr>
        <w:instrText xml:space="preserve"> SEQ ( \* ARABIC </w:instrText>
      </w:r>
      <w:r w:rsidR="004074E3" w:rsidRPr="00D91DBF">
        <w:rPr>
          <w:rFonts w:ascii="Times New Roman" w:hAnsi="Times New Roman" w:cs="Times New Roman"/>
          <w:i w:val="0"/>
          <w:iCs w:val="0"/>
          <w:color w:val="auto"/>
          <w:sz w:val="24"/>
          <w:szCs w:val="24"/>
        </w:rPr>
        <w:fldChar w:fldCharType="separate"/>
      </w:r>
      <w:r w:rsidR="00AF4D35">
        <w:rPr>
          <w:rFonts w:ascii="Times New Roman" w:hAnsi="Times New Roman" w:cs="Times New Roman"/>
          <w:i w:val="0"/>
          <w:iCs w:val="0"/>
          <w:noProof/>
          <w:color w:val="auto"/>
          <w:sz w:val="24"/>
          <w:szCs w:val="24"/>
        </w:rPr>
        <w:t>3</w:t>
      </w:r>
      <w:r w:rsidR="004074E3" w:rsidRPr="00D91DBF">
        <w:rPr>
          <w:rFonts w:ascii="Times New Roman" w:hAnsi="Times New Roman" w:cs="Times New Roman"/>
          <w:i w:val="0"/>
          <w:iCs w:val="0"/>
          <w:color w:val="auto"/>
          <w:sz w:val="24"/>
          <w:szCs w:val="24"/>
        </w:rPr>
        <w:fldChar w:fldCharType="end"/>
      </w:r>
      <w:r w:rsidR="004074E3" w:rsidRPr="00D91DBF">
        <w:rPr>
          <w:rFonts w:ascii="Times New Roman" w:hAnsi="Times New Roman" w:cs="Times New Roman"/>
          <w:i w:val="0"/>
          <w:iCs w:val="0"/>
          <w:color w:val="auto"/>
          <w:sz w:val="24"/>
          <w:szCs w:val="24"/>
        </w:rPr>
        <w:t>)</w:t>
      </w:r>
    </w:p>
    <w:p w14:paraId="671B985A" w14:textId="20290F6B" w:rsidR="008C523C" w:rsidRPr="00D91DBF" w:rsidRDefault="009C50ED" w:rsidP="008C523C">
      <w:pPr>
        <w:jc w:val="both"/>
      </w:pPr>
      <w:r w:rsidRPr="00D91DBF">
        <w:t xml:space="preserve">Where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Pr="00D91DBF">
        <w:rPr>
          <w:rFonts w:eastAsiaTheme="minorEastAsia"/>
        </w:rPr>
        <w:t xml:space="preserve"> is the measured value, </w:t>
      </w:r>
      <m:oMath>
        <m:acc>
          <m:accPr>
            <m:ctrlPr>
              <w:rPr>
                <w:rFonts w:ascii="Cambria Math" w:hAnsi="Cambria Math"/>
                <w:bCs w:val="0"/>
                <w:i/>
                <w:iCs/>
                <w:kern w:val="0"/>
                <w14:ligatures w14:val="none"/>
              </w:rPr>
            </m:ctrlPr>
          </m:accPr>
          <m:e>
            <m:r>
              <m:rPr>
                <m:sty m:val="p"/>
              </m:rPr>
              <w:rPr>
                <w:rFonts w:ascii="Cambria Math" w:hAnsi="Cambria Math"/>
              </w:rPr>
              <m:t>y</m:t>
            </m:r>
          </m:e>
        </m:acc>
      </m:oMath>
      <w:r w:rsidRPr="00D91DBF">
        <w:rPr>
          <w:rFonts w:eastAsiaTheme="minorEastAsia"/>
        </w:rPr>
        <w:t xml:space="preserve"> is the</w:t>
      </w:r>
      <w:r w:rsidR="00676ED6" w:rsidRPr="00D91DBF">
        <w:rPr>
          <w:rFonts w:eastAsiaTheme="minorEastAsia"/>
        </w:rPr>
        <w:t xml:space="preserve"> </w:t>
      </w:r>
      <w:r w:rsidR="008C523C" w:rsidRPr="00D91DBF">
        <w:rPr>
          <w:rFonts w:eastAsiaTheme="minorEastAsia"/>
        </w:rPr>
        <w:t>estimated</w:t>
      </w:r>
      <w:r w:rsidRPr="00D91DBF">
        <w:rPr>
          <w:rFonts w:eastAsiaTheme="minorEastAsia"/>
        </w:rPr>
        <w:t xml:space="preserve"> value,</w:t>
      </w:r>
      <w:r w:rsidR="00676ED6" w:rsidRPr="00D91DBF">
        <w:rPr>
          <w:rFonts w:eastAsiaTheme="minorEastAsia"/>
        </w:rPr>
        <w:t xml:space="preserve"> and</w:t>
      </w:r>
      <w:r w:rsidRPr="00D91DBF">
        <w:rPr>
          <w:rFonts w:eastAsiaTheme="minorEastAsia"/>
        </w:rPr>
        <w:t xml:space="preserve"> </w:t>
      </w:r>
      <m:oMath>
        <m:r>
          <w:rPr>
            <w:rFonts w:ascii="Cambria Math" w:eastAsiaTheme="minorEastAsia" w:hAnsi="Cambria Math"/>
          </w:rPr>
          <m:t>ph</m:t>
        </m:r>
      </m:oMath>
      <w:r w:rsidRPr="00D91DBF">
        <w:rPr>
          <w:rFonts w:eastAsiaTheme="minorEastAsia"/>
        </w:rPr>
        <w:t xml:space="preserve"> is the lengths of the prediction horizon.</w:t>
      </w:r>
      <w:r w:rsidR="00676ED6" w:rsidRPr="00D91DBF">
        <w:rPr>
          <w:rFonts w:eastAsiaTheme="minorEastAsia"/>
        </w:rPr>
        <w:t xml:space="preserve"> </w:t>
      </w:r>
      <w:r w:rsidR="004074E3" w:rsidRPr="00D91DBF">
        <w:rPr>
          <w:rFonts w:eastAsiaTheme="minorEastAsia"/>
        </w:rPr>
        <w:t>Since multiple models are generated according to the number of initial guess for the parameters, t</w:t>
      </w:r>
      <w:r w:rsidR="006D0437" w:rsidRPr="00D91DBF">
        <w:t xml:space="preserve">he selection of </w:t>
      </w:r>
      <w:r w:rsidR="00DD355E" w:rsidRPr="00D91DBF">
        <w:t xml:space="preserve">the </w:t>
      </w:r>
      <w:r w:rsidR="004074E3" w:rsidRPr="00D91DBF">
        <w:t xml:space="preserve">one that better </w:t>
      </w:r>
      <w:r w:rsidR="00DD355E" w:rsidRPr="00D91DBF">
        <w:t>follows</w:t>
      </w:r>
      <w:r w:rsidR="004074E3" w:rsidRPr="00D91DBF">
        <w:t xml:space="preserve"> the thermal dynamic is addressed</w:t>
      </w:r>
      <w:r w:rsidR="006D0437" w:rsidRPr="00D91DBF">
        <w:t xml:space="preserve"> by means of the FIT function </w:t>
      </w:r>
      <w:r w:rsidR="00A522ED" w:rsidRPr="00D91DBF">
        <w:fldChar w:fldCharType="begin"/>
      </w:r>
      <w:r w:rsidR="00A522ED" w:rsidRPr="00D91DBF">
        <w:instrText xml:space="preserve"> ADDIN EN.CITE &lt;EndNote&gt;&lt;Cite&gt;&lt;Author&gt;Privara&lt;/Author&gt;&lt;Year&gt;2013&lt;/Year&gt;&lt;RecNum&gt;44&lt;/RecNum&gt;&lt;DisplayText&gt;[15]&lt;/DisplayText&gt;&lt;record&gt;&lt;rec-number&gt;44&lt;/rec-number&gt;&lt;foreign-keys&gt;&lt;key app="EN" db-id="vfv5a2vrm200e6evpd8xd5t6fraexdfzf52p" timestamp="1672154101"&gt;44&lt;/key&gt;&lt;/foreign-keys&gt;&lt;ref-type name="Journal Article"&gt;17&lt;/ref-type&gt;&lt;contributors&gt;&lt;authors&gt;&lt;author&gt;Privara, Samuel&lt;/author&gt;&lt;author&gt;Cigler, Jiří&lt;/author&gt;&lt;author&gt;Váňa, Zdeněk&lt;/author&gt;&lt;author&gt;Oldewurtel, Frauke&lt;/author&gt;&lt;author&gt;Sagerschnig, Carina&lt;/author&gt;&lt;author&gt;Žáčeková, Eva&lt;/author&gt;&lt;/authors&gt;&lt;/contributors&gt;&lt;titles&gt;&lt;title&gt;Building modeling as a crucial part for building predictive control&lt;/title&gt;&lt;secondary-title&gt;Energy Buildings&lt;/secondary-title&gt;&lt;/titles&gt;&lt;periodical&gt;&lt;full-title&gt;Energy Buildings&lt;/full-title&gt;&lt;/periodical&gt;&lt;pages&gt;8-22&lt;/pages&gt;&lt;volume&gt;56&lt;/volume&gt;&lt;dates&gt;&lt;year&gt;2013&lt;/year&gt;&lt;/dates&gt;&lt;isbn&gt;0378-7788&lt;/isbn&gt;&lt;urls&gt;&lt;/urls&gt;&lt;/record&gt;&lt;/Cite&gt;&lt;/EndNote&gt;</w:instrText>
      </w:r>
      <w:r w:rsidR="00A522ED" w:rsidRPr="00D91DBF">
        <w:fldChar w:fldCharType="separate"/>
      </w:r>
      <w:r w:rsidR="00A522ED" w:rsidRPr="00D91DBF">
        <w:rPr>
          <w:noProof/>
        </w:rPr>
        <w:t>[15]</w:t>
      </w:r>
      <w:r w:rsidR="00A522ED" w:rsidRPr="00D91DBF">
        <w:fldChar w:fldCharType="end"/>
      </w:r>
      <w:r w:rsidR="004074E3" w:rsidRPr="00D91DBF">
        <w:t xml:space="preserve">. </w:t>
      </w:r>
      <w:r w:rsidR="008C523C" w:rsidRPr="00D91DBF">
        <w:t>This index is generated from the knowledge of the Normalized Root Means Square Error (NRMSE).</w:t>
      </w:r>
    </w:p>
    <w:p w14:paraId="28B09355" w14:textId="41C49002" w:rsidR="008C523C" w:rsidRPr="00D91DBF" w:rsidRDefault="008C523C" w:rsidP="008C523C">
      <w:pPr>
        <w:jc w:val="both"/>
        <w:rPr>
          <w:rFonts w:eastAsiaTheme="minorEastAsia"/>
          <w:i/>
          <w:iCs/>
          <w:sz w:val="20"/>
          <w:szCs w:val="20"/>
        </w:rPr>
      </w:pPr>
      <m:oMath>
        <m:r>
          <w:rPr>
            <w:rFonts w:ascii="Cambria Math" w:hAnsi="Cambria Math"/>
          </w:rPr>
          <m:t>NRMSE=</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ph</m:t>
                </m:r>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m</m:t>
                            </m:r>
                          </m:sub>
                        </m:sSub>
                        <m:d>
                          <m:dPr>
                            <m:ctrlPr>
                              <w:rPr>
                                <w:rFonts w:ascii="Cambria Math" w:hAnsi="Cambria Math"/>
                              </w:rPr>
                            </m:ctrlPr>
                          </m:dPr>
                          <m:e>
                            <m:r>
                              <m:rPr>
                                <m:sty m:val="p"/>
                              </m:rPr>
                              <w:rPr>
                                <w:rFonts w:ascii="Cambria Math" w:hAnsi="Cambria Math"/>
                              </w:rPr>
                              <m:t>k+j</m:t>
                            </m:r>
                          </m:e>
                        </m:d>
                        <m:r>
                          <m:rPr>
                            <m:sty m:val="p"/>
                          </m:rPr>
                          <w:rPr>
                            <w:rFonts w:ascii="Cambria Math" w:hAnsi="Cambria Math"/>
                          </w:rPr>
                          <m:t>-</m:t>
                        </m:r>
                        <m:acc>
                          <m:accPr>
                            <m:ctrlPr>
                              <w:rPr>
                                <w:rFonts w:ascii="Cambria Math" w:hAnsi="Cambria Math"/>
                                <w:bCs w:val="0"/>
                                <w:i/>
                                <w:iCs/>
                                <w:kern w:val="0"/>
                                <w14:ligatures w14:val="none"/>
                              </w:rPr>
                            </m:ctrlPr>
                          </m:accPr>
                          <m:e>
                            <m:r>
                              <m:rPr>
                                <m:sty m:val="p"/>
                              </m:rPr>
                              <w:rPr>
                                <w:rFonts w:ascii="Cambria Math" w:hAnsi="Cambria Math"/>
                              </w:rPr>
                              <m:t>y</m:t>
                            </m:r>
                          </m:e>
                        </m:acc>
                        <m:d>
                          <m:dPr>
                            <m:ctrlPr>
                              <w:rPr>
                                <w:rFonts w:ascii="Cambria Math" w:hAnsi="Cambria Math"/>
                              </w:rPr>
                            </m:ctrlPr>
                          </m:dPr>
                          <m:e>
                            <m:r>
                              <m:rPr>
                                <m:sty m:val="p"/>
                              </m:rPr>
                              <w:rPr>
                                <w:rFonts w:ascii="Cambria Math" w:hAnsi="Cambria Math"/>
                              </w:rPr>
                              <m:t>k+j</m:t>
                            </m:r>
                          </m:e>
                        </m:d>
                      </m:e>
                    </m:d>
                  </m:e>
                  <m:sub>
                    <m:r>
                      <m:rPr>
                        <m:sty m:val="p"/>
                      </m:rPr>
                      <w:rPr>
                        <w:rFonts w:ascii="Cambria Math" w:hAnsi="Cambria Math"/>
                      </w:rPr>
                      <m:t>2</m:t>
                    </m:r>
                  </m:sub>
                  <m:sup>
                    <m:r>
                      <m:rPr>
                        <m:sty m:val="p"/>
                      </m:rPr>
                      <w:rPr>
                        <w:rFonts w:ascii="Cambria Math" w:hAnsi="Cambria Math"/>
                      </w:rPr>
                      <m:t>2</m:t>
                    </m:r>
                  </m:sup>
                </m:sSubSup>
              </m:e>
            </m:nary>
          </m:num>
          <m:den>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ph</m:t>
                </m:r>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m</m:t>
                            </m:r>
                          </m:sub>
                        </m:sSub>
                        <m:d>
                          <m:dPr>
                            <m:ctrlPr>
                              <w:rPr>
                                <w:rFonts w:ascii="Cambria Math" w:hAnsi="Cambria Math"/>
                              </w:rPr>
                            </m:ctrlPr>
                          </m:dPr>
                          <m:e>
                            <m:r>
                              <m:rPr>
                                <m:sty m:val="p"/>
                              </m:rPr>
                              <w:rPr>
                                <w:rFonts w:ascii="Cambria Math" w:hAnsi="Cambria Math"/>
                              </w:rPr>
                              <m:t>k+j</m:t>
                            </m:r>
                          </m:e>
                        </m:d>
                        <m:r>
                          <m:rPr>
                            <m:sty m:val="p"/>
                          </m:rP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y</m:t>
                            </m:r>
                          </m:e>
                        </m:acc>
                        <m:d>
                          <m:dPr>
                            <m:ctrlPr>
                              <w:rPr>
                                <w:rFonts w:ascii="Cambria Math" w:hAnsi="Cambria Math"/>
                              </w:rPr>
                            </m:ctrlPr>
                          </m:dPr>
                          <m:e>
                            <m:r>
                              <m:rPr>
                                <m:sty m:val="p"/>
                              </m:rPr>
                              <w:rPr>
                                <w:rFonts w:ascii="Cambria Math" w:hAnsi="Cambria Math"/>
                              </w:rPr>
                              <m:t>k+j</m:t>
                            </m:r>
                          </m:e>
                        </m:d>
                      </m:e>
                    </m:d>
                  </m:e>
                  <m:sub>
                    <m:r>
                      <m:rPr>
                        <m:sty m:val="p"/>
                      </m:rPr>
                      <w:rPr>
                        <w:rFonts w:ascii="Cambria Math" w:hAnsi="Cambria Math"/>
                      </w:rPr>
                      <m:t>2</m:t>
                    </m:r>
                  </m:sub>
                  <m:sup>
                    <m:r>
                      <m:rPr>
                        <m:sty m:val="p"/>
                      </m:rPr>
                      <w:rPr>
                        <w:rFonts w:ascii="Cambria Math" w:hAnsi="Cambria Math"/>
                      </w:rPr>
                      <m:t>2</m:t>
                    </m:r>
                  </m:sup>
                </m:sSubSup>
              </m:e>
            </m:nary>
          </m:den>
        </m:f>
      </m:oMath>
      <w:r w:rsidRPr="00D91DBF">
        <w:t xml:space="preserve">                                                                                                                        (</w:t>
      </w:r>
      <w:fldSimple w:instr=" SEQ ( \* ARABIC ">
        <w:r w:rsidR="00AF4D35">
          <w:rPr>
            <w:noProof/>
          </w:rPr>
          <w:t>4</w:t>
        </w:r>
      </w:fldSimple>
      <w:r w:rsidRPr="00D91DBF">
        <w:t>)</w:t>
      </w:r>
    </w:p>
    <w:p w14:paraId="1910E72B" w14:textId="1E6695FB" w:rsidR="008C523C" w:rsidRPr="00D91DBF" w:rsidRDefault="008C523C" w:rsidP="008C523C">
      <w:pPr>
        <w:jc w:val="both"/>
        <w:rPr>
          <w:rFonts w:eastAsiaTheme="minorEastAsia"/>
        </w:rPr>
      </w:pPr>
      <w:bookmarkStart w:id="5" w:name="_Hlk137587343"/>
      <w:r w:rsidRPr="00D91DBF">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y</m:t>
            </m:r>
          </m:e>
        </m:acc>
      </m:oMath>
      <w:r w:rsidRPr="00D91DBF">
        <w:rPr>
          <w:rFonts w:eastAsiaTheme="minorEastAsia"/>
        </w:rPr>
        <w:t xml:space="preserve"> is mean value of the measured output. The </w:t>
      </w:r>
      <m:oMath>
        <m:r>
          <w:rPr>
            <w:rFonts w:ascii="Cambria Math" w:eastAsiaTheme="minorEastAsia" w:hAnsi="Cambria Math"/>
          </w:rPr>
          <m:t>FIT</m:t>
        </m:r>
      </m:oMath>
      <w:r w:rsidRPr="00D91DBF">
        <w:rPr>
          <w:rFonts w:eastAsiaTheme="minorEastAsia"/>
        </w:rPr>
        <w:t xml:space="preserve"> index is instead evaluated as follows.</w:t>
      </w:r>
    </w:p>
    <w:bookmarkEnd w:id="5"/>
    <w:p w14:paraId="38811472" w14:textId="30B517A9" w:rsidR="008C523C" w:rsidRPr="00D91DBF" w:rsidRDefault="008C523C" w:rsidP="008C523C">
      <w:pPr>
        <w:pStyle w:val="Didascalia"/>
        <w:jc w:val="both"/>
        <w:rPr>
          <w:rFonts w:ascii="Times New Roman" w:hAnsi="Times New Roman" w:cs="Times New Roman"/>
          <w:i w:val="0"/>
          <w:iCs w:val="0"/>
          <w:color w:val="auto"/>
          <w:sz w:val="24"/>
          <w:szCs w:val="24"/>
        </w:rPr>
      </w:pPr>
      <m:oMath>
        <m:r>
          <w:rPr>
            <w:rFonts w:ascii="Cambria Math" w:hAnsi="Cambria Math" w:cs="Times New Roman"/>
            <w:color w:val="auto"/>
            <w:sz w:val="24"/>
            <w:szCs w:val="24"/>
          </w:rPr>
          <m:t>FIT=</m:t>
        </m:r>
        <m:d>
          <m:dPr>
            <m:ctrlPr>
              <w:rPr>
                <w:rFonts w:ascii="Cambria Math" w:hAnsi="Cambria Math" w:cs="Times New Roman"/>
                <w:i w:val="0"/>
                <w:iCs w:val="0"/>
                <w:color w:val="auto"/>
                <w:sz w:val="24"/>
                <w:szCs w:val="24"/>
              </w:rPr>
            </m:ctrlPr>
          </m:dPr>
          <m:e>
            <m:r>
              <w:rPr>
                <w:rFonts w:ascii="Cambria Math" w:hAnsi="Cambria Math" w:cs="Times New Roman"/>
                <w:color w:val="auto"/>
                <w:sz w:val="24"/>
                <w:szCs w:val="24"/>
              </w:rPr>
              <m:t>1-NRMSE</m:t>
            </m:r>
          </m:e>
        </m:d>
        <m:r>
          <w:rPr>
            <w:rFonts w:ascii="Cambria Math" w:hAnsi="Cambria Math" w:cs="Times New Roman"/>
            <w:color w:val="auto"/>
            <w:sz w:val="24"/>
            <w:szCs w:val="24"/>
          </w:rPr>
          <m:t>∙100%</m:t>
        </m:r>
      </m:oMath>
      <w:r w:rsidRPr="00D91DBF">
        <w:rPr>
          <w:rFonts w:ascii="Times New Roman" w:eastAsiaTheme="minorEastAsia" w:hAnsi="Times New Roman" w:cs="Times New Roman"/>
          <w:i w:val="0"/>
          <w:iCs w:val="0"/>
          <w:color w:val="auto"/>
          <w:sz w:val="24"/>
          <w:szCs w:val="24"/>
        </w:rPr>
        <w:t xml:space="preserve">                    </w:t>
      </w:r>
      <w:r w:rsidRPr="00D91DBF">
        <w:rPr>
          <w:rFonts w:ascii="Times New Roman" w:hAnsi="Times New Roman" w:cs="Times New Roman"/>
          <w:i w:val="0"/>
          <w:iCs w:val="0"/>
          <w:color w:val="auto"/>
          <w:sz w:val="24"/>
          <w:szCs w:val="24"/>
        </w:rPr>
        <w:t xml:space="preserve">                                                                          </w:t>
      </w:r>
      <w:r w:rsidR="00DD355E" w:rsidRPr="00D91DBF">
        <w:rPr>
          <w:rFonts w:ascii="Times New Roman" w:hAnsi="Times New Roman" w:cs="Times New Roman"/>
          <w:i w:val="0"/>
          <w:iCs w:val="0"/>
          <w:color w:val="auto"/>
          <w:sz w:val="24"/>
          <w:szCs w:val="24"/>
        </w:rPr>
        <w:t xml:space="preserve">       </w:t>
      </w:r>
      <w:r w:rsidRPr="00D91DBF">
        <w:rPr>
          <w:rFonts w:ascii="Times New Roman" w:hAnsi="Times New Roman" w:cs="Times New Roman"/>
          <w:i w:val="0"/>
          <w:iCs w:val="0"/>
          <w:color w:val="auto"/>
          <w:sz w:val="24"/>
          <w:szCs w:val="24"/>
        </w:rPr>
        <w:t xml:space="preserve">  (</w:t>
      </w:r>
      <w:r w:rsidRPr="00D91DBF">
        <w:rPr>
          <w:rFonts w:ascii="Times New Roman" w:hAnsi="Times New Roman" w:cs="Times New Roman"/>
          <w:i w:val="0"/>
          <w:iCs w:val="0"/>
          <w:color w:val="auto"/>
          <w:sz w:val="24"/>
          <w:szCs w:val="24"/>
        </w:rPr>
        <w:fldChar w:fldCharType="begin"/>
      </w:r>
      <w:r w:rsidRPr="00D91DBF">
        <w:rPr>
          <w:rFonts w:ascii="Times New Roman" w:hAnsi="Times New Roman" w:cs="Times New Roman"/>
          <w:i w:val="0"/>
          <w:iCs w:val="0"/>
          <w:color w:val="auto"/>
          <w:sz w:val="24"/>
          <w:szCs w:val="24"/>
        </w:rPr>
        <w:instrText xml:space="preserve"> SEQ ( \* ARABIC </w:instrText>
      </w:r>
      <w:r w:rsidRPr="00D91DBF">
        <w:rPr>
          <w:rFonts w:ascii="Times New Roman" w:hAnsi="Times New Roman" w:cs="Times New Roman"/>
          <w:i w:val="0"/>
          <w:iCs w:val="0"/>
          <w:color w:val="auto"/>
          <w:sz w:val="24"/>
          <w:szCs w:val="24"/>
        </w:rPr>
        <w:fldChar w:fldCharType="separate"/>
      </w:r>
      <w:r w:rsidR="00AF4D35">
        <w:rPr>
          <w:rFonts w:ascii="Times New Roman" w:hAnsi="Times New Roman" w:cs="Times New Roman"/>
          <w:i w:val="0"/>
          <w:iCs w:val="0"/>
          <w:noProof/>
          <w:color w:val="auto"/>
          <w:sz w:val="24"/>
          <w:szCs w:val="24"/>
        </w:rPr>
        <w:t>5</w:t>
      </w:r>
      <w:r w:rsidRPr="00D91DBF">
        <w:rPr>
          <w:rFonts w:ascii="Times New Roman" w:hAnsi="Times New Roman" w:cs="Times New Roman"/>
          <w:i w:val="0"/>
          <w:iCs w:val="0"/>
          <w:color w:val="auto"/>
          <w:sz w:val="24"/>
          <w:szCs w:val="24"/>
        </w:rPr>
        <w:fldChar w:fldCharType="end"/>
      </w:r>
      <w:r w:rsidRPr="00D91DBF">
        <w:rPr>
          <w:rFonts w:ascii="Times New Roman" w:hAnsi="Times New Roman" w:cs="Times New Roman"/>
          <w:i w:val="0"/>
          <w:iCs w:val="0"/>
          <w:color w:val="auto"/>
          <w:sz w:val="24"/>
          <w:szCs w:val="24"/>
        </w:rPr>
        <w:t>)</w:t>
      </w:r>
    </w:p>
    <w:p w14:paraId="26F7BFDF" w14:textId="1426B2F8" w:rsidR="006D0437" w:rsidRDefault="00A522ED" w:rsidP="00A522ED">
      <w:pPr>
        <w:jc w:val="both"/>
      </w:pPr>
      <w:r w:rsidRPr="00D91DBF">
        <w:lastRenderedPageBreak/>
        <w:t>The calibration routine is executed for a period of one week and for each time step, focusing on a prediction of 24 hrs ahead.</w:t>
      </w:r>
      <w:r w:rsidR="006D0437" w:rsidRPr="00D91DBF">
        <w:t xml:space="preserve"> The model is finally validated over </w:t>
      </w:r>
      <w:r w:rsidR="00A448AE" w:rsidRPr="00D91DBF">
        <w:t>week</w:t>
      </w:r>
      <w:r w:rsidR="006D0437" w:rsidRPr="00D91DBF">
        <w:t xml:space="preserve"> to show the performance of the adopted methodology.</w:t>
      </w:r>
    </w:p>
    <w:p w14:paraId="58CC9B36" w14:textId="77777777" w:rsidR="00AD1BB1" w:rsidRPr="00D91DBF" w:rsidRDefault="00AD1BB1" w:rsidP="00A522ED">
      <w:pPr>
        <w:jc w:val="both"/>
      </w:pPr>
    </w:p>
    <w:p w14:paraId="2DBA5894" w14:textId="4043B3E0" w:rsidR="004938AB" w:rsidRPr="00D91DBF" w:rsidRDefault="004938AB" w:rsidP="00223DCE">
      <w:pPr>
        <w:pStyle w:val="Paragrafoelenco"/>
        <w:numPr>
          <w:ilvl w:val="0"/>
          <w:numId w:val="7"/>
        </w:numPr>
        <w:jc w:val="both"/>
        <w:rPr>
          <w:b/>
          <w:bCs w:val="0"/>
        </w:rPr>
      </w:pPr>
      <w:r w:rsidRPr="00D91DBF">
        <w:rPr>
          <w:b/>
          <w:bCs w:val="0"/>
        </w:rPr>
        <w:t>Results</w:t>
      </w:r>
    </w:p>
    <w:p w14:paraId="474577E6" w14:textId="553042BE" w:rsidR="00666C0B" w:rsidRPr="00D91DBF" w:rsidRDefault="0045191E" w:rsidP="0004009A">
      <w:pPr>
        <w:jc w:val="both"/>
      </w:pPr>
      <w:r w:rsidRPr="00D91DBF">
        <w:t>T</w:t>
      </w:r>
      <w:r w:rsidR="004938AB" w:rsidRPr="00D91DBF">
        <w:t>he</w:t>
      </w:r>
      <w:r w:rsidRPr="00D91DBF">
        <w:t xml:space="preserve"> results of the developed model are shown in this section </w:t>
      </w:r>
      <w:r w:rsidR="004938AB" w:rsidRPr="00D91DBF">
        <w:t xml:space="preserve">considering the performance for </w:t>
      </w:r>
      <w:r w:rsidR="0004009A" w:rsidRPr="00D91DBF">
        <w:t>a prediction horizon o</w:t>
      </w:r>
      <w:r w:rsidR="00412633">
        <w:t>f</w:t>
      </w:r>
      <w:r w:rsidR="0004009A" w:rsidRPr="00D91DBF">
        <w:t xml:space="preserve"> 24 hours ahead. The results are summarized, for each node, in the following table</w:t>
      </w:r>
      <w:r w:rsidR="002E73E2">
        <w:t>s</w:t>
      </w:r>
      <w:r w:rsidR="0004009A" w:rsidRPr="00D91DBF">
        <w:t xml:space="preserve"> and figure</w:t>
      </w:r>
      <w:r w:rsidR="002E73E2">
        <w:t>s</w:t>
      </w:r>
      <w:r w:rsidR="0004009A" w:rsidRPr="00D91DBF">
        <w:t>.</w:t>
      </w:r>
    </w:p>
    <w:p w14:paraId="60D47F99" w14:textId="77777777" w:rsidR="002E73E2" w:rsidRDefault="0004009A" w:rsidP="0004009A">
      <w:pPr>
        <w:jc w:val="both"/>
      </w:pPr>
      <w:r w:rsidRPr="00396909">
        <w:t xml:space="preserve">In detail, </w:t>
      </w:r>
      <w:r w:rsidR="00FD6648" w:rsidRPr="00396909">
        <w:fldChar w:fldCharType="begin"/>
      </w:r>
      <w:r w:rsidR="00FD6648" w:rsidRPr="00396909">
        <w:instrText xml:space="preserve"> REF _Ref142746293 \h </w:instrText>
      </w:r>
      <w:r w:rsidR="0093440B" w:rsidRPr="00396909">
        <w:instrText xml:space="preserve"> \* MERGEFORMAT </w:instrText>
      </w:r>
      <w:r w:rsidR="00FD6648" w:rsidRPr="00396909">
        <w:fldChar w:fldCharType="separate"/>
      </w:r>
      <w:r w:rsidR="00AF4D35" w:rsidRPr="00AF4D35">
        <w:t xml:space="preserve">Table </w:t>
      </w:r>
      <w:r w:rsidR="00AF4D35" w:rsidRPr="00AF4D35">
        <w:rPr>
          <w:noProof/>
        </w:rPr>
        <w:t>2</w:t>
      </w:r>
      <w:r w:rsidR="00FD6648" w:rsidRPr="00396909">
        <w:fldChar w:fldCharType="end"/>
      </w:r>
      <w:r w:rsidR="00FD6648" w:rsidRPr="00396909">
        <w:t xml:space="preserve"> and </w:t>
      </w:r>
      <w:r w:rsidR="00FD6648" w:rsidRPr="00396909">
        <w:fldChar w:fldCharType="begin"/>
      </w:r>
      <w:r w:rsidR="00FD6648" w:rsidRPr="00396909">
        <w:instrText xml:space="preserve"> REF _Ref142746311 \h </w:instrText>
      </w:r>
      <w:r w:rsidR="0093440B" w:rsidRPr="00396909">
        <w:instrText xml:space="preserve"> \* MERGEFORMAT </w:instrText>
      </w:r>
      <w:r w:rsidR="00FD6648" w:rsidRPr="00396909">
        <w:fldChar w:fldCharType="separate"/>
      </w:r>
      <w:r w:rsidR="00AF4D35" w:rsidRPr="00AF4D35">
        <w:t xml:space="preserve">Figure </w:t>
      </w:r>
      <w:r w:rsidR="00AF4D35" w:rsidRPr="00AF4D35">
        <w:rPr>
          <w:noProof/>
        </w:rPr>
        <w:t>3</w:t>
      </w:r>
      <w:r w:rsidR="00FD6648" w:rsidRPr="00396909">
        <w:fldChar w:fldCharType="end"/>
      </w:r>
      <w:r w:rsidR="00FD6648" w:rsidRPr="00396909">
        <w:t xml:space="preserve"> provide the results during the training p</w:t>
      </w:r>
      <w:r w:rsidR="00FD6648" w:rsidRPr="00AF4D35">
        <w:t>eriod</w:t>
      </w:r>
      <w:r w:rsidR="00A448AE" w:rsidRPr="00AF4D35">
        <w:t xml:space="preserve">, while </w:t>
      </w:r>
      <w:r w:rsidR="00AF4D35" w:rsidRPr="00AF4D35">
        <w:fldChar w:fldCharType="begin"/>
      </w:r>
      <w:r w:rsidR="00AF4D35" w:rsidRPr="00AF4D35">
        <w:instrText xml:space="preserve"> REF _Ref145409076 \h </w:instrText>
      </w:r>
      <w:r w:rsidR="00AF4D35">
        <w:instrText xml:space="preserve"> \* MERGEFORMAT </w:instrText>
      </w:r>
      <w:r w:rsidR="00AF4D35" w:rsidRPr="00AF4D35">
        <w:fldChar w:fldCharType="separate"/>
      </w:r>
      <w:r w:rsidR="00AF4D35" w:rsidRPr="00AF4D35">
        <w:t xml:space="preserve">Table </w:t>
      </w:r>
      <w:r w:rsidR="00AF4D35" w:rsidRPr="00AF4D35">
        <w:rPr>
          <w:i/>
          <w:iCs/>
          <w:noProof/>
        </w:rPr>
        <w:t>3</w:t>
      </w:r>
      <w:r w:rsidR="00AF4D35" w:rsidRPr="00AF4D35">
        <w:fldChar w:fldCharType="end"/>
      </w:r>
      <w:r w:rsidR="00AF4D35" w:rsidRPr="00AF4D35">
        <w:t xml:space="preserve"> </w:t>
      </w:r>
      <w:r w:rsidR="00A448AE" w:rsidRPr="00AF4D35">
        <w:t xml:space="preserve">and </w:t>
      </w:r>
      <w:r w:rsidR="00A448AE" w:rsidRPr="00AF4D35">
        <w:fldChar w:fldCharType="begin"/>
      </w:r>
      <w:r w:rsidR="00A448AE" w:rsidRPr="00AF4D35">
        <w:instrText xml:space="preserve"> REF _Ref144354203 \h  \* MERGEFORMAT </w:instrText>
      </w:r>
      <w:r w:rsidR="00A448AE" w:rsidRPr="00AF4D35">
        <w:fldChar w:fldCharType="separate"/>
      </w:r>
      <w:r w:rsidR="00AF4D35" w:rsidRPr="00AF4D35">
        <w:t xml:space="preserve">Figure </w:t>
      </w:r>
      <w:r w:rsidR="00AF4D35" w:rsidRPr="00AF4D35">
        <w:rPr>
          <w:noProof/>
        </w:rPr>
        <w:t>4</w:t>
      </w:r>
      <w:r w:rsidR="00A448AE" w:rsidRPr="00AF4D35">
        <w:fldChar w:fldCharType="end"/>
      </w:r>
      <w:r w:rsidR="00A448AE" w:rsidRPr="00AF4D35">
        <w:t xml:space="preserve"> refer to the results during the validation period.</w:t>
      </w:r>
      <w:r w:rsidR="00651ABC">
        <w:t xml:space="preserve"> </w:t>
      </w:r>
    </w:p>
    <w:p w14:paraId="16E0D45B" w14:textId="43983D05" w:rsidR="0004009A" w:rsidRPr="00396909" w:rsidRDefault="00651ABC" w:rsidP="0004009A">
      <w:pPr>
        <w:jc w:val="both"/>
      </w:pPr>
      <w:r>
        <w:t xml:space="preserve">More details on the data and </w:t>
      </w:r>
      <w:r w:rsidR="002E73E2">
        <w:t xml:space="preserve">the obtained </w:t>
      </w:r>
      <w:r>
        <w:t>matrices can be found in the MATLAB script</w:t>
      </w:r>
      <w:r>
        <w:rPr>
          <w:rStyle w:val="Rimandonotaapidipagina"/>
        </w:rPr>
        <w:footnoteReference w:id="1"/>
      </w:r>
      <w:r>
        <w:t>.</w:t>
      </w:r>
      <w:r w:rsidR="002E73E2">
        <w:t xml:space="preserve"> Here, it is possible to test the performance of the model for different prediction horizons and periods.</w:t>
      </w:r>
    </w:p>
    <w:p w14:paraId="716E0835" w14:textId="77777777" w:rsidR="002D588F" w:rsidRPr="00D91DBF" w:rsidRDefault="002D588F" w:rsidP="0004009A">
      <w:pPr>
        <w:jc w:val="both"/>
      </w:pPr>
    </w:p>
    <w:p w14:paraId="2ECD0236" w14:textId="795C6FF1" w:rsidR="00A448AE" w:rsidRPr="00F449E3" w:rsidRDefault="00666C0B" w:rsidP="00A448AE">
      <w:pPr>
        <w:pStyle w:val="Didascalia"/>
        <w:jc w:val="center"/>
        <w:rPr>
          <w:rFonts w:ascii="Times New Roman" w:hAnsi="Times New Roman" w:cs="Times New Roman"/>
          <w:i w:val="0"/>
          <w:iCs w:val="0"/>
          <w:color w:val="auto"/>
          <w:sz w:val="22"/>
          <w:szCs w:val="22"/>
        </w:rPr>
      </w:pPr>
      <w:bookmarkStart w:id="6" w:name="_Ref142746293"/>
      <w:r w:rsidRPr="00F449E3">
        <w:rPr>
          <w:rFonts w:ascii="Times New Roman" w:hAnsi="Times New Roman" w:cs="Times New Roman"/>
          <w:i w:val="0"/>
          <w:iCs w:val="0"/>
          <w:color w:val="auto"/>
          <w:sz w:val="22"/>
          <w:szCs w:val="22"/>
        </w:rPr>
        <w:t xml:space="preserve">Table </w:t>
      </w:r>
      <w:r w:rsidRPr="00F449E3">
        <w:rPr>
          <w:rFonts w:ascii="Times New Roman" w:hAnsi="Times New Roman" w:cs="Times New Roman"/>
          <w:i w:val="0"/>
          <w:iCs w:val="0"/>
          <w:color w:val="auto"/>
          <w:sz w:val="22"/>
          <w:szCs w:val="22"/>
        </w:rPr>
        <w:fldChar w:fldCharType="begin"/>
      </w:r>
      <w:r w:rsidRPr="00F449E3">
        <w:rPr>
          <w:rFonts w:ascii="Times New Roman" w:hAnsi="Times New Roman" w:cs="Times New Roman"/>
          <w:i w:val="0"/>
          <w:iCs w:val="0"/>
          <w:color w:val="auto"/>
          <w:sz w:val="22"/>
          <w:szCs w:val="22"/>
        </w:rPr>
        <w:instrText xml:space="preserve"> SEQ Table \* ARABIC </w:instrText>
      </w:r>
      <w:r w:rsidRPr="00F449E3">
        <w:rPr>
          <w:rFonts w:ascii="Times New Roman" w:hAnsi="Times New Roman" w:cs="Times New Roman"/>
          <w:i w:val="0"/>
          <w:iCs w:val="0"/>
          <w:color w:val="auto"/>
          <w:sz w:val="22"/>
          <w:szCs w:val="22"/>
        </w:rPr>
        <w:fldChar w:fldCharType="separate"/>
      </w:r>
      <w:r w:rsidR="00AF4D35">
        <w:rPr>
          <w:rFonts w:ascii="Times New Roman" w:hAnsi="Times New Roman" w:cs="Times New Roman"/>
          <w:i w:val="0"/>
          <w:iCs w:val="0"/>
          <w:noProof/>
          <w:color w:val="auto"/>
          <w:sz w:val="22"/>
          <w:szCs w:val="22"/>
        </w:rPr>
        <w:t>2</w:t>
      </w:r>
      <w:r w:rsidRPr="00F449E3">
        <w:rPr>
          <w:rFonts w:ascii="Times New Roman" w:hAnsi="Times New Roman" w:cs="Times New Roman"/>
          <w:i w:val="0"/>
          <w:iCs w:val="0"/>
          <w:color w:val="auto"/>
          <w:sz w:val="22"/>
          <w:szCs w:val="22"/>
        </w:rPr>
        <w:fldChar w:fldCharType="end"/>
      </w:r>
      <w:bookmarkEnd w:id="6"/>
      <w:r w:rsidRPr="00F449E3">
        <w:rPr>
          <w:rFonts w:ascii="Times New Roman" w:hAnsi="Times New Roman" w:cs="Times New Roman"/>
          <w:i w:val="0"/>
          <w:iCs w:val="0"/>
          <w:color w:val="auto"/>
          <w:sz w:val="22"/>
          <w:szCs w:val="22"/>
        </w:rPr>
        <w:t>: Model performance for prediction of 24 hours ahead</w:t>
      </w:r>
      <w:r w:rsidR="00A448AE" w:rsidRPr="00F449E3">
        <w:rPr>
          <w:rFonts w:ascii="Times New Roman" w:hAnsi="Times New Roman" w:cs="Times New Roman"/>
          <w:i w:val="0"/>
          <w:iCs w:val="0"/>
          <w:color w:val="auto"/>
          <w:sz w:val="22"/>
          <w:szCs w:val="22"/>
        </w:rPr>
        <w:t xml:space="preserve"> during the calibration </w:t>
      </w:r>
      <w:r w:rsidR="00434619">
        <w:rPr>
          <w:rFonts w:ascii="Times New Roman" w:hAnsi="Times New Roman" w:cs="Times New Roman"/>
          <w:i w:val="0"/>
          <w:iCs w:val="0"/>
          <w:color w:val="auto"/>
          <w:sz w:val="22"/>
          <w:szCs w:val="22"/>
        </w:rPr>
        <w:t>period</w:t>
      </w:r>
      <w:r w:rsidR="004178EE">
        <w:rPr>
          <w:rFonts w:ascii="Times New Roman" w:hAnsi="Times New Roman" w:cs="Times New Roman"/>
          <w:i w:val="0"/>
          <w:iCs w:val="0"/>
          <w:color w:val="auto"/>
          <w:sz w:val="22"/>
          <w:szCs w:val="22"/>
        </w:rPr>
        <w:t xml:space="preserve"> (21/12/2017 – 28/12/2017)</w:t>
      </w:r>
      <w:r w:rsidR="00A448AE" w:rsidRPr="00F449E3">
        <w:rPr>
          <w:rFonts w:ascii="Times New Roman" w:hAnsi="Times New Roman" w:cs="Times New Roman"/>
          <w:i w:val="0"/>
          <w:iCs w:val="0"/>
          <w:color w:val="auto"/>
          <w:sz w:val="22"/>
          <w:szCs w:val="22"/>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19"/>
        <w:gridCol w:w="1163"/>
        <w:gridCol w:w="1335"/>
        <w:gridCol w:w="1335"/>
        <w:gridCol w:w="1336"/>
        <w:gridCol w:w="1336"/>
        <w:gridCol w:w="1336"/>
      </w:tblGrid>
      <w:tr w:rsidR="00666C0B" w:rsidRPr="00F449E3" w14:paraId="7897CE66" w14:textId="77777777" w:rsidTr="00AF030B">
        <w:tc>
          <w:tcPr>
            <w:tcW w:w="1519" w:type="dxa"/>
            <w:tcBorders>
              <w:bottom w:val="single" w:sz="4" w:space="0" w:color="auto"/>
            </w:tcBorders>
          </w:tcPr>
          <w:p w14:paraId="1CEC9A2D" w14:textId="77777777" w:rsidR="00666C0B" w:rsidRPr="00F449E3" w:rsidRDefault="00666C0B" w:rsidP="00AF030B">
            <w:pPr>
              <w:jc w:val="center"/>
              <w:rPr>
                <w:b/>
                <w:bCs/>
              </w:rPr>
            </w:pPr>
            <w:r w:rsidRPr="00F449E3">
              <w:rPr>
                <w:b/>
                <w:bCs/>
              </w:rPr>
              <w:t>Node</w:t>
            </w:r>
          </w:p>
        </w:tc>
        <w:tc>
          <w:tcPr>
            <w:tcW w:w="1163" w:type="dxa"/>
            <w:tcBorders>
              <w:top w:val="nil"/>
              <w:bottom w:val="single" w:sz="4" w:space="0" w:color="auto"/>
              <w:right w:val="nil"/>
            </w:tcBorders>
          </w:tcPr>
          <w:p w14:paraId="3BE36EC3" w14:textId="77777777" w:rsidR="00666C0B" w:rsidRPr="00F449E3" w:rsidRDefault="00666C0B" w:rsidP="00AF030B">
            <w:pPr>
              <w:jc w:val="center"/>
            </w:pPr>
            <w:r w:rsidRPr="00F449E3">
              <w:t>1</w:t>
            </w:r>
          </w:p>
        </w:tc>
        <w:tc>
          <w:tcPr>
            <w:tcW w:w="1335" w:type="dxa"/>
            <w:tcBorders>
              <w:top w:val="nil"/>
              <w:left w:val="nil"/>
              <w:bottom w:val="single" w:sz="4" w:space="0" w:color="auto"/>
              <w:right w:val="nil"/>
            </w:tcBorders>
          </w:tcPr>
          <w:p w14:paraId="1F1D1472" w14:textId="77777777" w:rsidR="00666C0B" w:rsidRPr="00F449E3" w:rsidRDefault="00666C0B" w:rsidP="00AF030B">
            <w:pPr>
              <w:jc w:val="center"/>
            </w:pPr>
            <w:r w:rsidRPr="00F449E3">
              <w:t>2</w:t>
            </w:r>
          </w:p>
        </w:tc>
        <w:tc>
          <w:tcPr>
            <w:tcW w:w="1335" w:type="dxa"/>
            <w:tcBorders>
              <w:top w:val="nil"/>
              <w:left w:val="nil"/>
              <w:bottom w:val="single" w:sz="4" w:space="0" w:color="auto"/>
              <w:right w:val="nil"/>
            </w:tcBorders>
          </w:tcPr>
          <w:p w14:paraId="39A61894" w14:textId="77777777" w:rsidR="00666C0B" w:rsidRPr="00F449E3" w:rsidRDefault="00666C0B" w:rsidP="00AF030B">
            <w:pPr>
              <w:jc w:val="center"/>
            </w:pPr>
            <w:r w:rsidRPr="00F449E3">
              <w:t>3</w:t>
            </w:r>
          </w:p>
        </w:tc>
        <w:tc>
          <w:tcPr>
            <w:tcW w:w="1336" w:type="dxa"/>
            <w:tcBorders>
              <w:top w:val="nil"/>
              <w:left w:val="nil"/>
              <w:bottom w:val="single" w:sz="4" w:space="0" w:color="auto"/>
              <w:right w:val="nil"/>
            </w:tcBorders>
          </w:tcPr>
          <w:p w14:paraId="3409C454" w14:textId="77777777" w:rsidR="00666C0B" w:rsidRPr="00F449E3" w:rsidRDefault="00666C0B" w:rsidP="00AF030B">
            <w:pPr>
              <w:jc w:val="center"/>
            </w:pPr>
            <w:r w:rsidRPr="00F449E3">
              <w:t>4</w:t>
            </w:r>
          </w:p>
        </w:tc>
        <w:tc>
          <w:tcPr>
            <w:tcW w:w="1336" w:type="dxa"/>
            <w:tcBorders>
              <w:top w:val="nil"/>
              <w:left w:val="nil"/>
              <w:bottom w:val="single" w:sz="4" w:space="0" w:color="auto"/>
            </w:tcBorders>
          </w:tcPr>
          <w:p w14:paraId="75BD86D4" w14:textId="77777777" w:rsidR="00666C0B" w:rsidRPr="00F449E3" w:rsidRDefault="00666C0B" w:rsidP="00AF030B">
            <w:pPr>
              <w:jc w:val="center"/>
            </w:pPr>
            <w:r w:rsidRPr="00F449E3">
              <w:t>5</w:t>
            </w:r>
          </w:p>
        </w:tc>
        <w:tc>
          <w:tcPr>
            <w:tcW w:w="1336" w:type="dxa"/>
            <w:tcBorders>
              <w:bottom w:val="single" w:sz="4" w:space="0" w:color="auto"/>
            </w:tcBorders>
          </w:tcPr>
          <w:p w14:paraId="02EA7BB0" w14:textId="77777777" w:rsidR="00666C0B" w:rsidRPr="00F449E3" w:rsidRDefault="00666C0B" w:rsidP="00AF030B">
            <w:pPr>
              <w:jc w:val="center"/>
            </w:pPr>
            <w:r w:rsidRPr="00F449E3">
              <w:t>Total</w:t>
            </w:r>
          </w:p>
        </w:tc>
      </w:tr>
      <w:tr w:rsidR="00666C0B" w:rsidRPr="00F449E3" w14:paraId="1403D548" w14:textId="77777777" w:rsidTr="00AF030B">
        <w:tc>
          <w:tcPr>
            <w:tcW w:w="1519" w:type="dxa"/>
            <w:tcBorders>
              <w:top w:val="nil"/>
              <w:bottom w:val="nil"/>
            </w:tcBorders>
          </w:tcPr>
          <w:p w14:paraId="2305CAF9" w14:textId="77777777" w:rsidR="00666C0B" w:rsidRPr="00F449E3" w:rsidRDefault="00666C0B" w:rsidP="00AF030B">
            <w:pPr>
              <w:jc w:val="center"/>
              <w:rPr>
                <w:b/>
                <w:bCs/>
              </w:rPr>
            </w:pPr>
            <w:r w:rsidRPr="00F449E3">
              <w:rPr>
                <w:b/>
                <w:bCs/>
              </w:rPr>
              <w:t>RMSE</w:t>
            </w:r>
          </w:p>
        </w:tc>
        <w:tc>
          <w:tcPr>
            <w:tcW w:w="1163" w:type="dxa"/>
            <w:tcBorders>
              <w:top w:val="nil"/>
              <w:bottom w:val="nil"/>
              <w:right w:val="nil"/>
            </w:tcBorders>
          </w:tcPr>
          <w:p w14:paraId="30486DF4" w14:textId="40F52B41" w:rsidR="00666C0B" w:rsidRPr="00F449E3" w:rsidRDefault="00666C0B" w:rsidP="00AF030B">
            <w:pPr>
              <w:jc w:val="center"/>
            </w:pPr>
            <w:r w:rsidRPr="00F449E3">
              <w:t>0.</w:t>
            </w:r>
            <w:r w:rsidR="00F449E3">
              <w:t>187</w:t>
            </w:r>
          </w:p>
        </w:tc>
        <w:tc>
          <w:tcPr>
            <w:tcW w:w="1335" w:type="dxa"/>
            <w:tcBorders>
              <w:top w:val="nil"/>
              <w:left w:val="nil"/>
              <w:bottom w:val="nil"/>
              <w:right w:val="nil"/>
            </w:tcBorders>
          </w:tcPr>
          <w:p w14:paraId="65AEE5A8" w14:textId="1F5F6098" w:rsidR="00666C0B" w:rsidRPr="00F449E3" w:rsidRDefault="00666C0B" w:rsidP="00AF030B">
            <w:pPr>
              <w:jc w:val="center"/>
            </w:pPr>
            <w:r w:rsidRPr="00F449E3">
              <w:t>0.</w:t>
            </w:r>
            <w:r w:rsidR="00F449E3">
              <w:t>256</w:t>
            </w:r>
          </w:p>
        </w:tc>
        <w:tc>
          <w:tcPr>
            <w:tcW w:w="1335" w:type="dxa"/>
            <w:tcBorders>
              <w:top w:val="nil"/>
              <w:left w:val="nil"/>
              <w:bottom w:val="nil"/>
              <w:right w:val="nil"/>
            </w:tcBorders>
          </w:tcPr>
          <w:p w14:paraId="01AD4AD5" w14:textId="2949DD19" w:rsidR="00666C0B" w:rsidRPr="00F449E3" w:rsidRDefault="00666C0B" w:rsidP="00AF030B">
            <w:pPr>
              <w:jc w:val="center"/>
            </w:pPr>
            <w:r w:rsidRPr="00F449E3">
              <w:t>0.</w:t>
            </w:r>
            <w:r w:rsidR="00F449E3">
              <w:t>288</w:t>
            </w:r>
          </w:p>
        </w:tc>
        <w:tc>
          <w:tcPr>
            <w:tcW w:w="1336" w:type="dxa"/>
            <w:tcBorders>
              <w:top w:val="nil"/>
              <w:left w:val="nil"/>
              <w:bottom w:val="nil"/>
              <w:right w:val="nil"/>
            </w:tcBorders>
          </w:tcPr>
          <w:p w14:paraId="701C76F6" w14:textId="219FD834" w:rsidR="00666C0B" w:rsidRPr="00F449E3" w:rsidRDefault="00666C0B" w:rsidP="00AF030B">
            <w:pPr>
              <w:jc w:val="center"/>
            </w:pPr>
            <w:r w:rsidRPr="00F449E3">
              <w:t>0.</w:t>
            </w:r>
            <w:r w:rsidR="00F449E3">
              <w:t>102</w:t>
            </w:r>
          </w:p>
        </w:tc>
        <w:tc>
          <w:tcPr>
            <w:tcW w:w="1336" w:type="dxa"/>
            <w:tcBorders>
              <w:top w:val="nil"/>
              <w:left w:val="nil"/>
              <w:bottom w:val="nil"/>
            </w:tcBorders>
          </w:tcPr>
          <w:p w14:paraId="0F0CB44F" w14:textId="431EC842" w:rsidR="00666C0B" w:rsidRPr="00F449E3" w:rsidRDefault="00666C0B" w:rsidP="00AF030B">
            <w:pPr>
              <w:jc w:val="center"/>
            </w:pPr>
            <w:r w:rsidRPr="00F449E3">
              <w:t>0.</w:t>
            </w:r>
            <w:r w:rsidR="00F449E3">
              <w:t>391</w:t>
            </w:r>
          </w:p>
        </w:tc>
        <w:tc>
          <w:tcPr>
            <w:tcW w:w="1336" w:type="dxa"/>
            <w:tcBorders>
              <w:top w:val="nil"/>
              <w:bottom w:val="nil"/>
            </w:tcBorders>
          </w:tcPr>
          <w:p w14:paraId="756DE555" w14:textId="05B6576A" w:rsidR="00666C0B" w:rsidRPr="00F449E3" w:rsidRDefault="00666C0B" w:rsidP="00AF030B">
            <w:pPr>
              <w:jc w:val="center"/>
            </w:pPr>
            <w:r w:rsidRPr="00F449E3">
              <w:t>0.</w:t>
            </w:r>
            <w:r w:rsidR="00F449E3">
              <w:t>245</w:t>
            </w:r>
          </w:p>
        </w:tc>
      </w:tr>
      <w:tr w:rsidR="00666C0B" w:rsidRPr="00F449E3" w14:paraId="36619E5D" w14:textId="77777777" w:rsidTr="00AF030B">
        <w:tc>
          <w:tcPr>
            <w:tcW w:w="1519" w:type="dxa"/>
            <w:tcBorders>
              <w:top w:val="nil"/>
              <w:bottom w:val="nil"/>
            </w:tcBorders>
          </w:tcPr>
          <w:p w14:paraId="7219F81B" w14:textId="77777777" w:rsidR="00666C0B" w:rsidRPr="00F449E3" w:rsidRDefault="00666C0B" w:rsidP="00AF030B">
            <w:pPr>
              <w:jc w:val="center"/>
              <w:rPr>
                <w:b/>
                <w:bCs/>
              </w:rPr>
            </w:pPr>
            <w:r w:rsidRPr="00F449E3">
              <w:rPr>
                <w:b/>
                <w:bCs/>
              </w:rPr>
              <w:t>FIT</w:t>
            </w:r>
          </w:p>
        </w:tc>
        <w:tc>
          <w:tcPr>
            <w:tcW w:w="1163" w:type="dxa"/>
            <w:tcBorders>
              <w:top w:val="nil"/>
              <w:bottom w:val="nil"/>
              <w:right w:val="nil"/>
            </w:tcBorders>
          </w:tcPr>
          <w:p w14:paraId="6950128D" w14:textId="275FFA9A" w:rsidR="00666C0B" w:rsidRPr="00F449E3" w:rsidRDefault="00F449E3" w:rsidP="00AF030B">
            <w:pPr>
              <w:jc w:val="center"/>
            </w:pPr>
            <w:r>
              <w:t>69.73</w:t>
            </w:r>
          </w:p>
        </w:tc>
        <w:tc>
          <w:tcPr>
            <w:tcW w:w="1335" w:type="dxa"/>
            <w:tcBorders>
              <w:top w:val="nil"/>
              <w:left w:val="nil"/>
              <w:bottom w:val="nil"/>
              <w:right w:val="nil"/>
            </w:tcBorders>
          </w:tcPr>
          <w:p w14:paraId="3FE4970B" w14:textId="0E6B30D0" w:rsidR="00666C0B" w:rsidRPr="00F449E3" w:rsidRDefault="00F449E3" w:rsidP="00AF030B">
            <w:pPr>
              <w:jc w:val="center"/>
            </w:pPr>
            <w:r>
              <w:t>68.66</w:t>
            </w:r>
          </w:p>
        </w:tc>
        <w:tc>
          <w:tcPr>
            <w:tcW w:w="1335" w:type="dxa"/>
            <w:tcBorders>
              <w:top w:val="nil"/>
              <w:left w:val="nil"/>
              <w:bottom w:val="nil"/>
              <w:right w:val="nil"/>
            </w:tcBorders>
          </w:tcPr>
          <w:p w14:paraId="3F836972" w14:textId="7A60B560" w:rsidR="00666C0B" w:rsidRPr="00F449E3" w:rsidRDefault="00F449E3" w:rsidP="00AF030B">
            <w:pPr>
              <w:jc w:val="center"/>
            </w:pPr>
            <w:r>
              <w:t>61.24</w:t>
            </w:r>
          </w:p>
        </w:tc>
        <w:tc>
          <w:tcPr>
            <w:tcW w:w="1336" w:type="dxa"/>
            <w:tcBorders>
              <w:top w:val="nil"/>
              <w:left w:val="nil"/>
              <w:bottom w:val="nil"/>
              <w:right w:val="nil"/>
            </w:tcBorders>
          </w:tcPr>
          <w:p w14:paraId="2F711C32" w14:textId="212CA7E5" w:rsidR="00666C0B" w:rsidRPr="00F449E3" w:rsidRDefault="00F449E3" w:rsidP="00AF030B">
            <w:pPr>
              <w:jc w:val="center"/>
            </w:pPr>
            <w:r>
              <w:t>57.01</w:t>
            </w:r>
          </w:p>
        </w:tc>
        <w:tc>
          <w:tcPr>
            <w:tcW w:w="1336" w:type="dxa"/>
            <w:tcBorders>
              <w:top w:val="nil"/>
              <w:left w:val="nil"/>
              <w:bottom w:val="nil"/>
            </w:tcBorders>
          </w:tcPr>
          <w:p w14:paraId="21538594" w14:textId="4A2CD899" w:rsidR="00666C0B" w:rsidRPr="00F449E3" w:rsidRDefault="00F449E3" w:rsidP="00AF030B">
            <w:pPr>
              <w:jc w:val="center"/>
            </w:pPr>
            <w:r>
              <w:t>52.55</w:t>
            </w:r>
          </w:p>
        </w:tc>
        <w:tc>
          <w:tcPr>
            <w:tcW w:w="1336" w:type="dxa"/>
            <w:tcBorders>
              <w:top w:val="nil"/>
              <w:bottom w:val="nil"/>
            </w:tcBorders>
          </w:tcPr>
          <w:p w14:paraId="1C384952" w14:textId="4A942728" w:rsidR="00666C0B" w:rsidRPr="00F449E3" w:rsidRDefault="00F449E3" w:rsidP="00AF030B">
            <w:pPr>
              <w:jc w:val="center"/>
            </w:pPr>
            <w:r>
              <w:t>61</w:t>
            </w:r>
            <w:r w:rsidR="00666C0B" w:rsidRPr="00F449E3">
              <w:t>.</w:t>
            </w:r>
            <w:r w:rsidR="00113065" w:rsidRPr="00F449E3">
              <w:t>8</w:t>
            </w:r>
            <w:r w:rsidR="0038102D" w:rsidRPr="00F449E3">
              <w:t>4</w:t>
            </w:r>
            <w:r w:rsidR="00666C0B" w:rsidRPr="00F449E3">
              <w:t xml:space="preserve"> </w:t>
            </w:r>
          </w:p>
        </w:tc>
      </w:tr>
    </w:tbl>
    <w:p w14:paraId="300B8BDC" w14:textId="77777777" w:rsidR="00AF4D35" w:rsidRDefault="00AF4D35" w:rsidP="00AF4D35"/>
    <w:p w14:paraId="1F098413" w14:textId="77777777" w:rsidR="00AF4D35" w:rsidRDefault="00AF4D35" w:rsidP="00AF4D35">
      <w:pPr>
        <w:pStyle w:val="Didascalia"/>
        <w:jc w:val="center"/>
        <w:rPr>
          <w:rFonts w:ascii="Times New Roman" w:hAnsi="Times New Roman" w:cs="Times New Roman"/>
          <w:i w:val="0"/>
          <w:iCs w:val="0"/>
          <w:color w:val="auto"/>
          <w:sz w:val="22"/>
          <w:szCs w:val="22"/>
        </w:rPr>
      </w:pPr>
    </w:p>
    <w:p w14:paraId="4601490B" w14:textId="07E0081F" w:rsidR="00AF4D35" w:rsidRPr="0077402D" w:rsidRDefault="00AF4D35" w:rsidP="00AF4D35">
      <w:pPr>
        <w:pStyle w:val="Didascalia"/>
        <w:jc w:val="center"/>
        <w:rPr>
          <w:rFonts w:ascii="Times New Roman" w:hAnsi="Times New Roman" w:cs="Times New Roman"/>
          <w:i w:val="0"/>
          <w:iCs w:val="0"/>
          <w:color w:val="auto"/>
          <w:sz w:val="22"/>
          <w:szCs w:val="22"/>
        </w:rPr>
      </w:pPr>
      <w:bookmarkStart w:id="7" w:name="_Ref145409076"/>
      <w:r w:rsidRPr="0077402D">
        <w:rPr>
          <w:rFonts w:ascii="Times New Roman" w:hAnsi="Times New Roman" w:cs="Times New Roman"/>
          <w:i w:val="0"/>
          <w:iCs w:val="0"/>
          <w:color w:val="auto"/>
          <w:sz w:val="22"/>
          <w:szCs w:val="22"/>
        </w:rPr>
        <w:t xml:space="preserve">Table </w:t>
      </w:r>
      <w:r w:rsidRPr="0077402D">
        <w:rPr>
          <w:rFonts w:ascii="Times New Roman" w:hAnsi="Times New Roman" w:cs="Times New Roman"/>
          <w:i w:val="0"/>
          <w:iCs w:val="0"/>
          <w:color w:val="auto"/>
          <w:sz w:val="22"/>
          <w:szCs w:val="22"/>
        </w:rPr>
        <w:fldChar w:fldCharType="begin"/>
      </w:r>
      <w:r w:rsidRPr="0077402D">
        <w:rPr>
          <w:rFonts w:ascii="Times New Roman" w:hAnsi="Times New Roman" w:cs="Times New Roman"/>
          <w:i w:val="0"/>
          <w:iCs w:val="0"/>
          <w:color w:val="auto"/>
          <w:sz w:val="22"/>
          <w:szCs w:val="22"/>
        </w:rPr>
        <w:instrText xml:space="preserve"> SEQ Table \* ARABIC </w:instrText>
      </w:r>
      <w:r w:rsidRPr="0077402D">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3</w:t>
      </w:r>
      <w:r w:rsidRPr="0077402D">
        <w:rPr>
          <w:rFonts w:ascii="Times New Roman" w:hAnsi="Times New Roman" w:cs="Times New Roman"/>
          <w:i w:val="0"/>
          <w:iCs w:val="0"/>
          <w:color w:val="auto"/>
          <w:sz w:val="22"/>
          <w:szCs w:val="22"/>
        </w:rPr>
        <w:fldChar w:fldCharType="end"/>
      </w:r>
      <w:bookmarkEnd w:id="7"/>
      <w:r w:rsidRPr="0077402D">
        <w:rPr>
          <w:rFonts w:ascii="Times New Roman" w:hAnsi="Times New Roman" w:cs="Times New Roman"/>
          <w:i w:val="0"/>
          <w:iCs w:val="0"/>
          <w:color w:val="auto"/>
          <w:sz w:val="22"/>
          <w:szCs w:val="22"/>
        </w:rPr>
        <w:t>: Model performance for prediction of 24 hours ahead during the validation period</w:t>
      </w:r>
      <w:r w:rsidR="004178EE">
        <w:rPr>
          <w:rFonts w:ascii="Times New Roman" w:hAnsi="Times New Roman" w:cs="Times New Roman"/>
          <w:i w:val="0"/>
          <w:iCs w:val="0"/>
          <w:color w:val="auto"/>
          <w:sz w:val="22"/>
          <w:szCs w:val="22"/>
        </w:rPr>
        <w:t xml:space="preserve"> (28/12/2017 – 01/02/2018)</w:t>
      </w:r>
      <w:r w:rsidRPr="0077402D">
        <w:rPr>
          <w:rFonts w:ascii="Times New Roman" w:hAnsi="Times New Roman" w:cs="Times New Roman"/>
          <w:i w:val="0"/>
          <w:iCs w:val="0"/>
          <w:color w:val="auto"/>
          <w:sz w:val="22"/>
          <w:szCs w:val="22"/>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19"/>
        <w:gridCol w:w="1163"/>
        <w:gridCol w:w="1335"/>
        <w:gridCol w:w="1335"/>
        <w:gridCol w:w="1336"/>
        <w:gridCol w:w="1336"/>
        <w:gridCol w:w="1336"/>
      </w:tblGrid>
      <w:tr w:rsidR="00AF4D35" w:rsidRPr="0077402D" w14:paraId="7B0E7940" w14:textId="77777777" w:rsidTr="00BB228F">
        <w:tc>
          <w:tcPr>
            <w:tcW w:w="1519" w:type="dxa"/>
            <w:tcBorders>
              <w:bottom w:val="single" w:sz="4" w:space="0" w:color="auto"/>
            </w:tcBorders>
          </w:tcPr>
          <w:p w14:paraId="3A5C07D5" w14:textId="77777777" w:rsidR="00AF4D35" w:rsidRPr="0077402D" w:rsidRDefault="00AF4D35" w:rsidP="00BB228F">
            <w:pPr>
              <w:jc w:val="center"/>
              <w:rPr>
                <w:b/>
                <w:bCs/>
              </w:rPr>
            </w:pPr>
            <w:r w:rsidRPr="0077402D">
              <w:rPr>
                <w:b/>
                <w:bCs/>
              </w:rPr>
              <w:t>Node</w:t>
            </w:r>
          </w:p>
        </w:tc>
        <w:tc>
          <w:tcPr>
            <w:tcW w:w="1163" w:type="dxa"/>
            <w:tcBorders>
              <w:top w:val="nil"/>
              <w:bottom w:val="single" w:sz="4" w:space="0" w:color="auto"/>
              <w:right w:val="nil"/>
            </w:tcBorders>
          </w:tcPr>
          <w:p w14:paraId="77A5523D" w14:textId="77777777" w:rsidR="00AF4D35" w:rsidRPr="0077402D" w:rsidRDefault="00AF4D35" w:rsidP="00BB228F">
            <w:pPr>
              <w:jc w:val="center"/>
            </w:pPr>
            <w:r w:rsidRPr="0077402D">
              <w:t>1</w:t>
            </w:r>
          </w:p>
        </w:tc>
        <w:tc>
          <w:tcPr>
            <w:tcW w:w="1335" w:type="dxa"/>
            <w:tcBorders>
              <w:top w:val="nil"/>
              <w:left w:val="nil"/>
              <w:bottom w:val="single" w:sz="4" w:space="0" w:color="auto"/>
              <w:right w:val="nil"/>
            </w:tcBorders>
          </w:tcPr>
          <w:p w14:paraId="1C50E287" w14:textId="77777777" w:rsidR="00AF4D35" w:rsidRPr="0077402D" w:rsidRDefault="00AF4D35" w:rsidP="00BB228F">
            <w:pPr>
              <w:jc w:val="center"/>
            </w:pPr>
            <w:r w:rsidRPr="0077402D">
              <w:t>2</w:t>
            </w:r>
          </w:p>
        </w:tc>
        <w:tc>
          <w:tcPr>
            <w:tcW w:w="1335" w:type="dxa"/>
            <w:tcBorders>
              <w:top w:val="nil"/>
              <w:left w:val="nil"/>
              <w:bottom w:val="single" w:sz="4" w:space="0" w:color="auto"/>
              <w:right w:val="nil"/>
            </w:tcBorders>
          </w:tcPr>
          <w:p w14:paraId="660F0BF7" w14:textId="77777777" w:rsidR="00AF4D35" w:rsidRPr="0077402D" w:rsidRDefault="00AF4D35" w:rsidP="00BB228F">
            <w:pPr>
              <w:jc w:val="center"/>
            </w:pPr>
            <w:r w:rsidRPr="0077402D">
              <w:t>3</w:t>
            </w:r>
          </w:p>
        </w:tc>
        <w:tc>
          <w:tcPr>
            <w:tcW w:w="1336" w:type="dxa"/>
            <w:tcBorders>
              <w:top w:val="nil"/>
              <w:left w:val="nil"/>
              <w:bottom w:val="single" w:sz="4" w:space="0" w:color="auto"/>
              <w:right w:val="nil"/>
            </w:tcBorders>
          </w:tcPr>
          <w:p w14:paraId="6A4AE209" w14:textId="77777777" w:rsidR="00AF4D35" w:rsidRPr="0077402D" w:rsidRDefault="00AF4D35" w:rsidP="00BB228F">
            <w:pPr>
              <w:jc w:val="center"/>
            </w:pPr>
            <w:r w:rsidRPr="0077402D">
              <w:t>4</w:t>
            </w:r>
          </w:p>
        </w:tc>
        <w:tc>
          <w:tcPr>
            <w:tcW w:w="1336" w:type="dxa"/>
            <w:tcBorders>
              <w:top w:val="nil"/>
              <w:left w:val="nil"/>
              <w:bottom w:val="single" w:sz="4" w:space="0" w:color="auto"/>
            </w:tcBorders>
          </w:tcPr>
          <w:p w14:paraId="55CE7545" w14:textId="77777777" w:rsidR="00AF4D35" w:rsidRPr="0077402D" w:rsidRDefault="00AF4D35" w:rsidP="00BB228F">
            <w:pPr>
              <w:jc w:val="center"/>
            </w:pPr>
            <w:r w:rsidRPr="0077402D">
              <w:t>5</w:t>
            </w:r>
          </w:p>
        </w:tc>
        <w:tc>
          <w:tcPr>
            <w:tcW w:w="1336" w:type="dxa"/>
            <w:tcBorders>
              <w:bottom w:val="single" w:sz="4" w:space="0" w:color="auto"/>
            </w:tcBorders>
          </w:tcPr>
          <w:p w14:paraId="6C75B786" w14:textId="77777777" w:rsidR="00AF4D35" w:rsidRPr="0077402D" w:rsidRDefault="00AF4D35" w:rsidP="00BB228F">
            <w:pPr>
              <w:jc w:val="center"/>
            </w:pPr>
            <w:r w:rsidRPr="0077402D">
              <w:t>Total</w:t>
            </w:r>
          </w:p>
        </w:tc>
      </w:tr>
      <w:tr w:rsidR="00AF4D35" w:rsidRPr="0077402D" w14:paraId="501F8AAC" w14:textId="77777777" w:rsidTr="00BB228F">
        <w:tc>
          <w:tcPr>
            <w:tcW w:w="1519" w:type="dxa"/>
            <w:tcBorders>
              <w:top w:val="nil"/>
              <w:bottom w:val="nil"/>
            </w:tcBorders>
          </w:tcPr>
          <w:p w14:paraId="754E89E7" w14:textId="77777777" w:rsidR="00AF4D35" w:rsidRPr="0077402D" w:rsidRDefault="00AF4D35" w:rsidP="00BB228F">
            <w:pPr>
              <w:jc w:val="center"/>
              <w:rPr>
                <w:b/>
                <w:bCs/>
              </w:rPr>
            </w:pPr>
            <w:r w:rsidRPr="0077402D">
              <w:rPr>
                <w:b/>
                <w:bCs/>
              </w:rPr>
              <w:t>RMSE</w:t>
            </w:r>
          </w:p>
        </w:tc>
        <w:tc>
          <w:tcPr>
            <w:tcW w:w="1163" w:type="dxa"/>
            <w:tcBorders>
              <w:top w:val="nil"/>
              <w:bottom w:val="nil"/>
              <w:right w:val="nil"/>
            </w:tcBorders>
          </w:tcPr>
          <w:p w14:paraId="610D5448" w14:textId="77777777" w:rsidR="00AF4D35" w:rsidRPr="0077402D" w:rsidRDefault="00AF4D35" w:rsidP="00BB228F">
            <w:pPr>
              <w:jc w:val="center"/>
            </w:pPr>
            <w:r w:rsidRPr="0077402D">
              <w:t>0.</w:t>
            </w:r>
            <w:r>
              <w:t>435</w:t>
            </w:r>
          </w:p>
        </w:tc>
        <w:tc>
          <w:tcPr>
            <w:tcW w:w="1335" w:type="dxa"/>
            <w:tcBorders>
              <w:top w:val="nil"/>
              <w:left w:val="nil"/>
              <w:bottom w:val="nil"/>
              <w:right w:val="nil"/>
            </w:tcBorders>
          </w:tcPr>
          <w:p w14:paraId="5767479D" w14:textId="77777777" w:rsidR="00AF4D35" w:rsidRPr="0077402D" w:rsidRDefault="00AF4D35" w:rsidP="00BB228F">
            <w:pPr>
              <w:jc w:val="center"/>
            </w:pPr>
            <w:r w:rsidRPr="0077402D">
              <w:t>0.</w:t>
            </w:r>
            <w:r>
              <w:t>524</w:t>
            </w:r>
          </w:p>
        </w:tc>
        <w:tc>
          <w:tcPr>
            <w:tcW w:w="1335" w:type="dxa"/>
            <w:tcBorders>
              <w:top w:val="nil"/>
              <w:left w:val="nil"/>
              <w:bottom w:val="nil"/>
              <w:right w:val="nil"/>
            </w:tcBorders>
          </w:tcPr>
          <w:p w14:paraId="30333CBC" w14:textId="77777777" w:rsidR="00AF4D35" w:rsidRPr="0077402D" w:rsidRDefault="00AF4D35" w:rsidP="00BB228F">
            <w:pPr>
              <w:jc w:val="center"/>
            </w:pPr>
            <w:r w:rsidRPr="0077402D">
              <w:t>0.</w:t>
            </w:r>
            <w:r>
              <w:t>561</w:t>
            </w:r>
          </w:p>
        </w:tc>
        <w:tc>
          <w:tcPr>
            <w:tcW w:w="1336" w:type="dxa"/>
            <w:tcBorders>
              <w:top w:val="nil"/>
              <w:left w:val="nil"/>
              <w:bottom w:val="nil"/>
              <w:right w:val="nil"/>
            </w:tcBorders>
          </w:tcPr>
          <w:p w14:paraId="38ADC4F3" w14:textId="77777777" w:rsidR="00AF4D35" w:rsidRPr="0077402D" w:rsidRDefault="00AF4D35" w:rsidP="00BB228F">
            <w:pPr>
              <w:jc w:val="center"/>
            </w:pPr>
            <w:r w:rsidRPr="0077402D">
              <w:t>0.</w:t>
            </w:r>
            <w:r>
              <w:t>167</w:t>
            </w:r>
          </w:p>
        </w:tc>
        <w:tc>
          <w:tcPr>
            <w:tcW w:w="1336" w:type="dxa"/>
            <w:tcBorders>
              <w:top w:val="nil"/>
              <w:left w:val="nil"/>
              <w:bottom w:val="nil"/>
            </w:tcBorders>
          </w:tcPr>
          <w:p w14:paraId="7D697125" w14:textId="77777777" w:rsidR="00AF4D35" w:rsidRPr="0077402D" w:rsidRDefault="00AF4D35" w:rsidP="00BB228F">
            <w:pPr>
              <w:jc w:val="center"/>
            </w:pPr>
            <w:r w:rsidRPr="0077402D">
              <w:t>0.</w:t>
            </w:r>
            <w:r>
              <w:t>556</w:t>
            </w:r>
          </w:p>
        </w:tc>
        <w:tc>
          <w:tcPr>
            <w:tcW w:w="1336" w:type="dxa"/>
            <w:tcBorders>
              <w:top w:val="nil"/>
              <w:bottom w:val="nil"/>
            </w:tcBorders>
          </w:tcPr>
          <w:p w14:paraId="51269499" w14:textId="77777777" w:rsidR="00AF4D35" w:rsidRPr="0077402D" w:rsidRDefault="00AF4D35" w:rsidP="00BB228F">
            <w:pPr>
              <w:jc w:val="center"/>
            </w:pPr>
            <w:r w:rsidRPr="0077402D">
              <w:t>0.</w:t>
            </w:r>
            <w:r>
              <w:t>449</w:t>
            </w:r>
          </w:p>
        </w:tc>
      </w:tr>
      <w:tr w:rsidR="00AF4D35" w:rsidRPr="0077402D" w14:paraId="086F995F" w14:textId="77777777" w:rsidTr="00BB228F">
        <w:tc>
          <w:tcPr>
            <w:tcW w:w="1519" w:type="dxa"/>
            <w:tcBorders>
              <w:top w:val="nil"/>
              <w:bottom w:val="nil"/>
            </w:tcBorders>
          </w:tcPr>
          <w:p w14:paraId="6517C133" w14:textId="77777777" w:rsidR="00AF4D35" w:rsidRPr="0077402D" w:rsidRDefault="00AF4D35" w:rsidP="00BB228F">
            <w:pPr>
              <w:jc w:val="center"/>
              <w:rPr>
                <w:b/>
                <w:bCs/>
              </w:rPr>
            </w:pPr>
            <w:r w:rsidRPr="0077402D">
              <w:rPr>
                <w:b/>
                <w:bCs/>
              </w:rPr>
              <w:t>FIT</w:t>
            </w:r>
          </w:p>
        </w:tc>
        <w:tc>
          <w:tcPr>
            <w:tcW w:w="1163" w:type="dxa"/>
            <w:tcBorders>
              <w:top w:val="nil"/>
              <w:bottom w:val="nil"/>
              <w:right w:val="nil"/>
            </w:tcBorders>
          </w:tcPr>
          <w:p w14:paraId="5B5B9DC3" w14:textId="77777777" w:rsidR="00AF4D35" w:rsidRPr="0077402D" w:rsidRDefault="00AF4D35" w:rsidP="00BB228F">
            <w:pPr>
              <w:jc w:val="center"/>
            </w:pPr>
            <w:r>
              <w:t>50.48</w:t>
            </w:r>
          </w:p>
        </w:tc>
        <w:tc>
          <w:tcPr>
            <w:tcW w:w="1335" w:type="dxa"/>
            <w:tcBorders>
              <w:top w:val="nil"/>
              <w:left w:val="nil"/>
              <w:bottom w:val="nil"/>
              <w:right w:val="nil"/>
            </w:tcBorders>
          </w:tcPr>
          <w:p w14:paraId="64C032AE" w14:textId="77777777" w:rsidR="00AF4D35" w:rsidRPr="0077402D" w:rsidRDefault="00AF4D35" w:rsidP="00BB228F">
            <w:pPr>
              <w:jc w:val="center"/>
            </w:pPr>
            <w:r>
              <w:t>52.36</w:t>
            </w:r>
          </w:p>
        </w:tc>
        <w:tc>
          <w:tcPr>
            <w:tcW w:w="1335" w:type="dxa"/>
            <w:tcBorders>
              <w:top w:val="nil"/>
              <w:left w:val="nil"/>
              <w:bottom w:val="nil"/>
              <w:right w:val="nil"/>
            </w:tcBorders>
          </w:tcPr>
          <w:p w14:paraId="3C652C2E" w14:textId="77777777" w:rsidR="00AF4D35" w:rsidRPr="0077402D" w:rsidRDefault="00AF4D35" w:rsidP="00BB228F">
            <w:pPr>
              <w:jc w:val="center"/>
            </w:pPr>
            <w:r>
              <w:t>40.90</w:t>
            </w:r>
          </w:p>
        </w:tc>
        <w:tc>
          <w:tcPr>
            <w:tcW w:w="1336" w:type="dxa"/>
            <w:tcBorders>
              <w:top w:val="nil"/>
              <w:left w:val="nil"/>
              <w:bottom w:val="nil"/>
              <w:right w:val="nil"/>
            </w:tcBorders>
          </w:tcPr>
          <w:p w14:paraId="105CBAEE" w14:textId="77777777" w:rsidR="00AF4D35" w:rsidRPr="0077402D" w:rsidRDefault="00AF4D35" w:rsidP="00BB228F">
            <w:pPr>
              <w:jc w:val="center"/>
            </w:pPr>
            <w:r>
              <w:t>56.20</w:t>
            </w:r>
          </w:p>
        </w:tc>
        <w:tc>
          <w:tcPr>
            <w:tcW w:w="1336" w:type="dxa"/>
            <w:tcBorders>
              <w:top w:val="nil"/>
              <w:left w:val="nil"/>
              <w:bottom w:val="nil"/>
            </w:tcBorders>
          </w:tcPr>
          <w:p w14:paraId="507BE43F" w14:textId="77777777" w:rsidR="00AF4D35" w:rsidRPr="0077402D" w:rsidRDefault="00AF4D35" w:rsidP="00BB228F">
            <w:pPr>
              <w:jc w:val="center"/>
            </w:pPr>
            <w:r>
              <w:t>34.05</w:t>
            </w:r>
          </w:p>
        </w:tc>
        <w:tc>
          <w:tcPr>
            <w:tcW w:w="1336" w:type="dxa"/>
            <w:tcBorders>
              <w:top w:val="nil"/>
              <w:bottom w:val="nil"/>
            </w:tcBorders>
          </w:tcPr>
          <w:p w14:paraId="3BF03009" w14:textId="77777777" w:rsidR="00AF4D35" w:rsidRPr="0077402D" w:rsidRDefault="00AF4D35" w:rsidP="00BB228F">
            <w:pPr>
              <w:jc w:val="center"/>
            </w:pPr>
            <w:r>
              <w:t>46.80</w:t>
            </w:r>
            <w:r w:rsidRPr="0077402D">
              <w:t xml:space="preserve"> </w:t>
            </w:r>
          </w:p>
        </w:tc>
      </w:tr>
    </w:tbl>
    <w:p w14:paraId="01B7E13E" w14:textId="0EA30701" w:rsidR="009C7771" w:rsidRPr="002F5AF9" w:rsidRDefault="009C7771" w:rsidP="009C7771">
      <w:pPr>
        <w:keepNext/>
        <w:jc w:val="center"/>
        <w:rPr>
          <w:noProof/>
          <w:highlight w:val="yellow"/>
        </w:rPr>
      </w:pPr>
    </w:p>
    <w:p w14:paraId="6DD41443" w14:textId="5F3A7CF3" w:rsidR="00B1188A" w:rsidRPr="00D72929" w:rsidRDefault="00F449E3" w:rsidP="009C7771">
      <w:pPr>
        <w:keepNext/>
        <w:jc w:val="center"/>
      </w:pPr>
      <w:r w:rsidRPr="00F449E3">
        <w:rPr>
          <w:noProof/>
        </w:rPr>
        <w:drawing>
          <wp:inline distT="0" distB="0" distL="0" distR="0" wp14:anchorId="61D8518A" wp14:editId="704B600D">
            <wp:extent cx="4838700" cy="5658391"/>
            <wp:effectExtent l="0" t="0" r="0" b="0"/>
            <wp:docPr id="674108188"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08188" name="Immagine 1" descr="Immagine che contiene testo, linea, Diagramma, diagramma&#10;&#10;Descrizione generata automaticamente"/>
                    <pic:cNvPicPr/>
                  </pic:nvPicPr>
                  <pic:blipFill rotWithShape="1">
                    <a:blip r:embed="rId40"/>
                    <a:srcRect t="4988" b="3988"/>
                    <a:stretch/>
                  </pic:blipFill>
                  <pic:spPr bwMode="auto">
                    <a:xfrm>
                      <a:off x="0" y="0"/>
                      <a:ext cx="4887916" cy="5715945"/>
                    </a:xfrm>
                    <a:prstGeom prst="rect">
                      <a:avLst/>
                    </a:prstGeom>
                    <a:ln>
                      <a:noFill/>
                    </a:ln>
                    <a:extLst>
                      <a:ext uri="{53640926-AAD7-44D8-BBD7-CCE9431645EC}">
                        <a14:shadowObscured xmlns:a14="http://schemas.microsoft.com/office/drawing/2010/main"/>
                      </a:ext>
                    </a:extLst>
                  </pic:spPr>
                </pic:pic>
              </a:graphicData>
            </a:graphic>
          </wp:inline>
        </w:drawing>
      </w:r>
    </w:p>
    <w:p w14:paraId="24CEDB6E" w14:textId="77777777" w:rsidR="00334B68" w:rsidRPr="00F449E3" w:rsidRDefault="009C7771" w:rsidP="00334B68">
      <w:pPr>
        <w:pStyle w:val="Didascalia"/>
        <w:jc w:val="center"/>
        <w:rPr>
          <w:rFonts w:ascii="Times New Roman" w:hAnsi="Times New Roman" w:cs="Times New Roman"/>
          <w:i w:val="0"/>
          <w:iCs w:val="0"/>
          <w:color w:val="auto"/>
          <w:sz w:val="22"/>
          <w:szCs w:val="22"/>
        </w:rPr>
      </w:pPr>
      <w:bookmarkStart w:id="8" w:name="_Ref142746311"/>
      <w:r w:rsidRPr="00D72929">
        <w:rPr>
          <w:rFonts w:ascii="Times New Roman" w:hAnsi="Times New Roman" w:cs="Times New Roman"/>
          <w:i w:val="0"/>
          <w:iCs w:val="0"/>
          <w:color w:val="auto"/>
          <w:sz w:val="22"/>
          <w:szCs w:val="22"/>
        </w:rPr>
        <w:t xml:space="preserve">Figure </w:t>
      </w:r>
      <w:r w:rsidRPr="00D72929">
        <w:rPr>
          <w:rFonts w:ascii="Times New Roman" w:hAnsi="Times New Roman" w:cs="Times New Roman"/>
          <w:i w:val="0"/>
          <w:iCs w:val="0"/>
          <w:color w:val="auto"/>
          <w:sz w:val="22"/>
          <w:szCs w:val="22"/>
        </w:rPr>
        <w:fldChar w:fldCharType="begin"/>
      </w:r>
      <w:r w:rsidRPr="00D72929">
        <w:rPr>
          <w:rFonts w:ascii="Times New Roman" w:hAnsi="Times New Roman" w:cs="Times New Roman"/>
          <w:i w:val="0"/>
          <w:iCs w:val="0"/>
          <w:color w:val="auto"/>
          <w:sz w:val="22"/>
          <w:szCs w:val="22"/>
        </w:rPr>
        <w:instrText xml:space="preserve"> SEQ Figure \* ARABIC </w:instrText>
      </w:r>
      <w:r w:rsidRPr="00D72929">
        <w:rPr>
          <w:rFonts w:ascii="Times New Roman" w:hAnsi="Times New Roman" w:cs="Times New Roman"/>
          <w:i w:val="0"/>
          <w:iCs w:val="0"/>
          <w:color w:val="auto"/>
          <w:sz w:val="22"/>
          <w:szCs w:val="22"/>
        </w:rPr>
        <w:fldChar w:fldCharType="separate"/>
      </w:r>
      <w:r w:rsidR="00AF4D35">
        <w:rPr>
          <w:rFonts w:ascii="Times New Roman" w:hAnsi="Times New Roman" w:cs="Times New Roman"/>
          <w:i w:val="0"/>
          <w:iCs w:val="0"/>
          <w:noProof/>
          <w:color w:val="auto"/>
          <w:sz w:val="22"/>
          <w:szCs w:val="22"/>
        </w:rPr>
        <w:t>3</w:t>
      </w:r>
      <w:r w:rsidRPr="00D72929">
        <w:rPr>
          <w:rFonts w:ascii="Times New Roman" w:hAnsi="Times New Roman" w:cs="Times New Roman"/>
          <w:i w:val="0"/>
          <w:iCs w:val="0"/>
          <w:color w:val="auto"/>
          <w:sz w:val="22"/>
          <w:szCs w:val="22"/>
        </w:rPr>
        <w:fldChar w:fldCharType="end"/>
      </w:r>
      <w:bookmarkEnd w:id="8"/>
      <w:r w:rsidRPr="00D72929">
        <w:rPr>
          <w:rFonts w:ascii="Times New Roman" w:hAnsi="Times New Roman" w:cs="Times New Roman"/>
          <w:i w:val="0"/>
          <w:iCs w:val="0"/>
          <w:color w:val="auto"/>
          <w:sz w:val="22"/>
          <w:szCs w:val="22"/>
        </w:rPr>
        <w:t>: Performance of the model for 24h prediction</w:t>
      </w:r>
      <w:r w:rsidR="00A448AE" w:rsidRPr="00D72929">
        <w:rPr>
          <w:rFonts w:ascii="Times New Roman" w:hAnsi="Times New Roman" w:cs="Times New Roman"/>
          <w:i w:val="0"/>
          <w:iCs w:val="0"/>
          <w:color w:val="auto"/>
          <w:sz w:val="22"/>
          <w:szCs w:val="22"/>
        </w:rPr>
        <w:t xml:space="preserve"> during the calibration </w:t>
      </w:r>
      <w:r w:rsidR="00D72929">
        <w:rPr>
          <w:rFonts w:ascii="Times New Roman" w:hAnsi="Times New Roman" w:cs="Times New Roman"/>
          <w:i w:val="0"/>
          <w:iCs w:val="0"/>
          <w:color w:val="auto"/>
          <w:sz w:val="22"/>
          <w:szCs w:val="22"/>
        </w:rPr>
        <w:t>period</w:t>
      </w:r>
      <w:r w:rsidR="00334B68">
        <w:rPr>
          <w:rFonts w:ascii="Times New Roman" w:hAnsi="Times New Roman" w:cs="Times New Roman"/>
          <w:i w:val="0"/>
          <w:iCs w:val="0"/>
          <w:color w:val="auto"/>
          <w:sz w:val="22"/>
          <w:szCs w:val="22"/>
        </w:rPr>
        <w:t xml:space="preserve"> </w:t>
      </w:r>
      <w:r w:rsidR="00334B68">
        <w:rPr>
          <w:rFonts w:ascii="Times New Roman" w:hAnsi="Times New Roman" w:cs="Times New Roman"/>
          <w:i w:val="0"/>
          <w:iCs w:val="0"/>
          <w:color w:val="auto"/>
          <w:sz w:val="22"/>
          <w:szCs w:val="22"/>
        </w:rPr>
        <w:t>(21/12/2017 – 28/12/2017)</w:t>
      </w:r>
      <w:r w:rsidR="00334B68" w:rsidRPr="00F449E3">
        <w:rPr>
          <w:rFonts w:ascii="Times New Roman" w:hAnsi="Times New Roman" w:cs="Times New Roman"/>
          <w:i w:val="0"/>
          <w:iCs w:val="0"/>
          <w:color w:val="auto"/>
          <w:sz w:val="22"/>
          <w:szCs w:val="22"/>
        </w:rPr>
        <w:t>.</w:t>
      </w:r>
    </w:p>
    <w:p w14:paraId="2343A934" w14:textId="2EC4CCD3" w:rsidR="009C7771" w:rsidRPr="00D91DBF" w:rsidRDefault="009C7771" w:rsidP="009C7771">
      <w:pPr>
        <w:pStyle w:val="Didascalia"/>
        <w:jc w:val="center"/>
        <w:rPr>
          <w:rFonts w:ascii="Times New Roman" w:hAnsi="Times New Roman" w:cs="Times New Roman"/>
          <w:i w:val="0"/>
          <w:iCs w:val="0"/>
          <w:color w:val="auto"/>
          <w:sz w:val="22"/>
          <w:szCs w:val="22"/>
        </w:rPr>
      </w:pPr>
    </w:p>
    <w:p w14:paraId="2F6E1591" w14:textId="0CE067BC" w:rsidR="009B2416" w:rsidRPr="00E26AA4" w:rsidRDefault="000F1714" w:rsidP="0077402D">
      <w:pPr>
        <w:keepNext/>
        <w:ind w:left="-1701" w:right="-1701"/>
        <w:jc w:val="center"/>
      </w:pPr>
      <w:r w:rsidRPr="000F1714">
        <w:rPr>
          <w:noProof/>
        </w:rPr>
        <w:lastRenderedPageBreak/>
        <w:drawing>
          <wp:inline distT="0" distB="0" distL="0" distR="0" wp14:anchorId="17F85AF6" wp14:editId="2C88EDE0">
            <wp:extent cx="7317824" cy="4003964"/>
            <wp:effectExtent l="0" t="0" r="0" b="0"/>
            <wp:docPr id="208998897"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8897" name="Immagine 1" descr="Immagine che contiene testo, schermata, linea, Carattere&#10;&#10;Descrizione generata automaticamente"/>
                    <pic:cNvPicPr/>
                  </pic:nvPicPr>
                  <pic:blipFill rotWithShape="1">
                    <a:blip r:embed="rId41"/>
                    <a:srcRect l="6774" r="5086"/>
                    <a:stretch/>
                  </pic:blipFill>
                  <pic:spPr bwMode="auto">
                    <a:xfrm>
                      <a:off x="0" y="0"/>
                      <a:ext cx="7353396" cy="4023427"/>
                    </a:xfrm>
                    <a:prstGeom prst="rect">
                      <a:avLst/>
                    </a:prstGeom>
                    <a:ln>
                      <a:noFill/>
                    </a:ln>
                    <a:extLst>
                      <a:ext uri="{53640926-AAD7-44D8-BBD7-CCE9431645EC}">
                        <a14:shadowObscured xmlns:a14="http://schemas.microsoft.com/office/drawing/2010/main"/>
                      </a:ext>
                    </a:extLst>
                  </pic:spPr>
                </pic:pic>
              </a:graphicData>
            </a:graphic>
          </wp:inline>
        </w:drawing>
      </w:r>
    </w:p>
    <w:p w14:paraId="24589AB9" w14:textId="77777777" w:rsidR="00334B68" w:rsidRPr="0077402D" w:rsidRDefault="00A448AE" w:rsidP="00334B68">
      <w:pPr>
        <w:pStyle w:val="Didascalia"/>
        <w:jc w:val="center"/>
        <w:rPr>
          <w:rFonts w:ascii="Times New Roman" w:hAnsi="Times New Roman" w:cs="Times New Roman"/>
          <w:i w:val="0"/>
          <w:iCs w:val="0"/>
          <w:color w:val="auto"/>
          <w:sz w:val="22"/>
          <w:szCs w:val="22"/>
        </w:rPr>
      </w:pPr>
      <w:bookmarkStart w:id="9" w:name="_Ref144354203"/>
      <w:r w:rsidRPr="00E26AA4">
        <w:rPr>
          <w:rFonts w:ascii="Times New Roman" w:hAnsi="Times New Roman" w:cs="Times New Roman"/>
          <w:i w:val="0"/>
          <w:iCs w:val="0"/>
          <w:color w:val="auto"/>
          <w:sz w:val="22"/>
          <w:szCs w:val="22"/>
        </w:rPr>
        <w:t xml:space="preserve">Figure </w:t>
      </w:r>
      <w:r w:rsidRPr="00E26AA4">
        <w:rPr>
          <w:rFonts w:ascii="Times New Roman" w:hAnsi="Times New Roman" w:cs="Times New Roman"/>
          <w:i w:val="0"/>
          <w:iCs w:val="0"/>
          <w:color w:val="auto"/>
          <w:sz w:val="22"/>
          <w:szCs w:val="22"/>
        </w:rPr>
        <w:fldChar w:fldCharType="begin"/>
      </w:r>
      <w:r w:rsidRPr="00E26AA4">
        <w:rPr>
          <w:rFonts w:ascii="Times New Roman" w:hAnsi="Times New Roman" w:cs="Times New Roman"/>
          <w:i w:val="0"/>
          <w:iCs w:val="0"/>
          <w:color w:val="auto"/>
          <w:sz w:val="22"/>
          <w:szCs w:val="22"/>
        </w:rPr>
        <w:instrText xml:space="preserve"> SEQ Figure \* ARABIC </w:instrText>
      </w:r>
      <w:r w:rsidRPr="00E26AA4">
        <w:rPr>
          <w:rFonts w:ascii="Times New Roman" w:hAnsi="Times New Roman" w:cs="Times New Roman"/>
          <w:i w:val="0"/>
          <w:iCs w:val="0"/>
          <w:color w:val="auto"/>
          <w:sz w:val="22"/>
          <w:szCs w:val="22"/>
        </w:rPr>
        <w:fldChar w:fldCharType="separate"/>
      </w:r>
      <w:r w:rsidR="00AF4D35">
        <w:rPr>
          <w:rFonts w:ascii="Times New Roman" w:hAnsi="Times New Roman" w:cs="Times New Roman"/>
          <w:i w:val="0"/>
          <w:iCs w:val="0"/>
          <w:noProof/>
          <w:color w:val="auto"/>
          <w:sz w:val="22"/>
          <w:szCs w:val="22"/>
        </w:rPr>
        <w:t>4</w:t>
      </w:r>
      <w:r w:rsidRPr="00E26AA4">
        <w:rPr>
          <w:rFonts w:ascii="Times New Roman" w:hAnsi="Times New Roman" w:cs="Times New Roman"/>
          <w:i w:val="0"/>
          <w:iCs w:val="0"/>
          <w:color w:val="auto"/>
          <w:sz w:val="22"/>
          <w:szCs w:val="22"/>
        </w:rPr>
        <w:fldChar w:fldCharType="end"/>
      </w:r>
      <w:bookmarkEnd w:id="9"/>
      <w:r w:rsidRPr="00E26AA4">
        <w:rPr>
          <w:rFonts w:ascii="Times New Roman" w:hAnsi="Times New Roman" w:cs="Times New Roman"/>
          <w:i w:val="0"/>
          <w:iCs w:val="0"/>
          <w:color w:val="auto"/>
          <w:sz w:val="22"/>
          <w:szCs w:val="22"/>
        </w:rPr>
        <w:t xml:space="preserve">: Performance of the model for 24h prediction during the </w:t>
      </w:r>
      <w:r w:rsidR="008D541E" w:rsidRPr="00E26AA4">
        <w:rPr>
          <w:rFonts w:ascii="Times New Roman" w:hAnsi="Times New Roman" w:cs="Times New Roman"/>
          <w:i w:val="0"/>
          <w:iCs w:val="0"/>
          <w:color w:val="auto"/>
          <w:sz w:val="22"/>
          <w:szCs w:val="22"/>
        </w:rPr>
        <w:t>validation</w:t>
      </w:r>
      <w:r w:rsidRPr="00E26AA4">
        <w:rPr>
          <w:rFonts w:ascii="Times New Roman" w:hAnsi="Times New Roman" w:cs="Times New Roman"/>
          <w:i w:val="0"/>
          <w:iCs w:val="0"/>
          <w:color w:val="auto"/>
          <w:sz w:val="22"/>
          <w:szCs w:val="22"/>
        </w:rPr>
        <w:t xml:space="preserve"> </w:t>
      </w:r>
      <w:r w:rsidR="00334B68" w:rsidRPr="0077402D">
        <w:rPr>
          <w:rFonts w:ascii="Times New Roman" w:hAnsi="Times New Roman" w:cs="Times New Roman"/>
          <w:i w:val="0"/>
          <w:iCs w:val="0"/>
          <w:color w:val="auto"/>
          <w:sz w:val="22"/>
          <w:szCs w:val="22"/>
        </w:rPr>
        <w:t>period</w:t>
      </w:r>
      <w:r w:rsidR="00334B68">
        <w:rPr>
          <w:rFonts w:ascii="Times New Roman" w:hAnsi="Times New Roman" w:cs="Times New Roman"/>
          <w:i w:val="0"/>
          <w:iCs w:val="0"/>
          <w:color w:val="auto"/>
          <w:sz w:val="22"/>
          <w:szCs w:val="22"/>
        </w:rPr>
        <w:t xml:space="preserve"> (28/12/2017 – 01/02/2018)</w:t>
      </w:r>
      <w:r w:rsidR="00334B68" w:rsidRPr="0077402D">
        <w:rPr>
          <w:rFonts w:ascii="Times New Roman" w:hAnsi="Times New Roman" w:cs="Times New Roman"/>
          <w:i w:val="0"/>
          <w:iCs w:val="0"/>
          <w:color w:val="auto"/>
          <w:sz w:val="22"/>
          <w:szCs w:val="22"/>
        </w:rPr>
        <w:t>.</w:t>
      </w:r>
    </w:p>
    <w:p w14:paraId="72A58DEA" w14:textId="76345EFB" w:rsidR="00A66D2D" w:rsidRDefault="00A66D2D" w:rsidP="00334B68">
      <w:pPr>
        <w:pStyle w:val="Didascalia"/>
        <w:jc w:val="center"/>
      </w:pPr>
    </w:p>
    <w:p w14:paraId="43AB5C8F" w14:textId="5602E657" w:rsidR="00D91224" w:rsidRPr="00D91DBF" w:rsidRDefault="00D91224" w:rsidP="00223DCE">
      <w:pPr>
        <w:pStyle w:val="Paragrafoelenco"/>
        <w:numPr>
          <w:ilvl w:val="0"/>
          <w:numId w:val="7"/>
        </w:numPr>
        <w:jc w:val="both"/>
        <w:rPr>
          <w:b/>
          <w:bCs w:val="0"/>
        </w:rPr>
      </w:pPr>
      <w:r w:rsidRPr="00D91DBF">
        <w:rPr>
          <w:b/>
          <w:bCs w:val="0"/>
        </w:rPr>
        <w:t>Limitation</w:t>
      </w:r>
      <w:r w:rsidR="00614280" w:rsidRPr="00D91DBF">
        <w:rPr>
          <w:b/>
          <w:bCs w:val="0"/>
        </w:rPr>
        <w:t>s</w:t>
      </w:r>
    </w:p>
    <w:p w14:paraId="3C6BD378" w14:textId="77777777" w:rsidR="00EE6178" w:rsidRPr="00D91DBF" w:rsidRDefault="00EE6178" w:rsidP="00EE6178">
      <w:pPr>
        <w:jc w:val="both"/>
      </w:pPr>
      <w:r w:rsidRPr="00D91DBF">
        <w:t>The study was limited to the definition of the building thermal response during only the winter period. The developed model provides a good prediction accuracy of the whole building thermal load and gives the possibility to distinguish a fast and slow dynamic of the heating, due to the effects of the ventilation and the radiation from the slab.</w:t>
      </w:r>
    </w:p>
    <w:p w14:paraId="3D448826" w14:textId="77777777" w:rsidR="00F170A0" w:rsidRDefault="00D14617" w:rsidP="00D91224">
      <w:pPr>
        <w:jc w:val="both"/>
      </w:pPr>
      <w:r>
        <w:t>The values of the RMSE are acceptable for the developed model, t</w:t>
      </w:r>
      <w:r w:rsidR="00EE6178" w:rsidRPr="00D91DBF">
        <w:t>herefore, f</w:t>
      </w:r>
      <w:r w:rsidR="00D91224" w:rsidRPr="00D91DBF">
        <w:t xml:space="preserve">urther detail is necessary to </w:t>
      </w:r>
      <w:r w:rsidR="00614280" w:rsidRPr="00D91DBF">
        <w:t>i</w:t>
      </w:r>
      <w:r>
        <w:t>ncrease</w:t>
      </w:r>
      <w:r w:rsidR="00614280" w:rsidRPr="00D91DBF">
        <w:t xml:space="preserve"> the </w:t>
      </w:r>
      <w:r>
        <w:t>accuracy related to the FIT index</w:t>
      </w:r>
      <w:r w:rsidR="00D91224" w:rsidRPr="00D91DBF">
        <w:t xml:space="preserve">. </w:t>
      </w:r>
    </w:p>
    <w:p w14:paraId="223B02AD" w14:textId="158A7C40" w:rsidR="00F170A0" w:rsidRPr="00D91DBF" w:rsidRDefault="00D91224" w:rsidP="00D91224">
      <w:pPr>
        <w:jc w:val="both"/>
      </w:pPr>
      <w:r w:rsidRPr="00D91DBF">
        <w:t xml:space="preserve">Future studies will </w:t>
      </w:r>
      <w:r w:rsidR="00614280" w:rsidRPr="00D91DBF">
        <w:t>address</w:t>
      </w:r>
      <w:r w:rsidRPr="00D91DBF">
        <w:t xml:space="preserve"> the presence of hidden </w:t>
      </w:r>
      <w:r w:rsidR="00614280" w:rsidRPr="00D91DBF">
        <w:t xml:space="preserve">model </w:t>
      </w:r>
      <w:r w:rsidRPr="00D91DBF">
        <w:t>states, corresponding to walls and internal mass</w:t>
      </w:r>
      <w:r w:rsidR="00546085" w:rsidRPr="00D91DBF">
        <w:t xml:space="preserve"> nodes</w:t>
      </w:r>
      <w:r w:rsidR="0060122E" w:rsidRPr="00D91DBF">
        <w:t>.</w:t>
      </w:r>
      <w:r w:rsidR="002D588F">
        <w:t xml:space="preserve"> </w:t>
      </w:r>
      <w:r w:rsidR="00F170A0">
        <w:t>Also, future studies will consider the presence of a variable heat transfer coefficient between the radiant slab and the air node. These improvements could highly increase the performance of the developed model.</w:t>
      </w:r>
    </w:p>
    <w:p w14:paraId="2497C34D" w14:textId="16978153" w:rsidR="00D91224" w:rsidRPr="004938AB" w:rsidRDefault="00614280" w:rsidP="00223DCE">
      <w:pPr>
        <w:jc w:val="both"/>
      </w:pPr>
      <w:r w:rsidRPr="00D91DBF">
        <w:t>It is important to highlight that the two floors are modelled separately, hence, no interaction between the floors is considered in this study. This choice is supported by the difficulties in considering a proper evaluation of this term due to the actual activation of the heating terminals inside the building and the negligible difference in temperature between the two thermal zones.</w:t>
      </w:r>
    </w:p>
    <w:sectPr w:rsidR="00D91224" w:rsidRPr="004938AB" w:rsidSect="0077402D">
      <w:foot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0B3C" w14:textId="77777777" w:rsidR="00B150D4" w:rsidRDefault="00B150D4" w:rsidP="0077402D">
      <w:pPr>
        <w:spacing w:after="0" w:line="240" w:lineRule="auto"/>
      </w:pPr>
      <w:r>
        <w:separator/>
      </w:r>
    </w:p>
  </w:endnote>
  <w:endnote w:type="continuationSeparator" w:id="0">
    <w:p w14:paraId="739A9956" w14:textId="77777777" w:rsidR="00B150D4" w:rsidRDefault="00B150D4" w:rsidP="00774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2988A" w14:textId="006C0DCA" w:rsidR="009613EA" w:rsidRPr="009613EA" w:rsidRDefault="009613EA" w:rsidP="009613EA">
    <w:pPr>
      <w:pStyle w:val="Pidipagina"/>
      <w:jc w:val="right"/>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43384" w14:textId="77777777" w:rsidR="00B150D4" w:rsidRDefault="00B150D4" w:rsidP="0077402D">
      <w:pPr>
        <w:spacing w:after="0" w:line="240" w:lineRule="auto"/>
      </w:pPr>
      <w:r>
        <w:separator/>
      </w:r>
    </w:p>
  </w:footnote>
  <w:footnote w:type="continuationSeparator" w:id="0">
    <w:p w14:paraId="49161100" w14:textId="77777777" w:rsidR="00B150D4" w:rsidRDefault="00B150D4" w:rsidP="0077402D">
      <w:pPr>
        <w:spacing w:after="0" w:line="240" w:lineRule="auto"/>
      </w:pPr>
      <w:r>
        <w:continuationSeparator/>
      </w:r>
    </w:p>
  </w:footnote>
  <w:footnote w:id="1">
    <w:p w14:paraId="702B3569" w14:textId="7988E268" w:rsidR="00651ABC" w:rsidRPr="00651ABC" w:rsidRDefault="00651ABC">
      <w:pPr>
        <w:pStyle w:val="Testonotaapidipagina"/>
        <w:rPr>
          <w:lang w:val="en-AU"/>
        </w:rPr>
      </w:pPr>
      <w:r>
        <w:rPr>
          <w:rStyle w:val="Rimandonotaapidipagina"/>
        </w:rPr>
        <w:footnoteRef/>
      </w:r>
      <w:r>
        <w:t xml:space="preserve"> </w:t>
      </w:r>
      <w:r w:rsidRPr="00651ABC">
        <w:rPr>
          <w:lang w:val="en-AU"/>
        </w:rPr>
        <w:t>Created using the version MATLAB 2</w:t>
      </w:r>
      <w:r>
        <w:rPr>
          <w:lang w:val="en-AU"/>
        </w:rPr>
        <w:t>023a.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AED"/>
    <w:multiLevelType w:val="multilevel"/>
    <w:tmpl w:val="ACE8ADD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9C1FB3"/>
    <w:multiLevelType w:val="hybridMultilevel"/>
    <w:tmpl w:val="A9803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3531AD"/>
    <w:multiLevelType w:val="hybridMultilevel"/>
    <w:tmpl w:val="D5BC2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E015DC"/>
    <w:multiLevelType w:val="hybridMultilevel"/>
    <w:tmpl w:val="1D2681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3A70D57"/>
    <w:multiLevelType w:val="multilevel"/>
    <w:tmpl w:val="7068B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3F7AAE"/>
    <w:multiLevelType w:val="multilevel"/>
    <w:tmpl w:val="7068B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7136B4F"/>
    <w:multiLevelType w:val="hybridMultilevel"/>
    <w:tmpl w:val="E8B8641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9016DDE"/>
    <w:multiLevelType w:val="hybridMultilevel"/>
    <w:tmpl w:val="76343A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1BB2AD5"/>
    <w:multiLevelType w:val="multilevel"/>
    <w:tmpl w:val="7068B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E1C512A"/>
    <w:multiLevelType w:val="multilevel"/>
    <w:tmpl w:val="7068B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35788086">
    <w:abstractNumId w:val="7"/>
  </w:num>
  <w:num w:numId="2" w16cid:durableId="1676031921">
    <w:abstractNumId w:val="2"/>
  </w:num>
  <w:num w:numId="3" w16cid:durableId="1864635691">
    <w:abstractNumId w:val="8"/>
  </w:num>
  <w:num w:numId="4" w16cid:durableId="300496983">
    <w:abstractNumId w:val="3"/>
  </w:num>
  <w:num w:numId="5" w16cid:durableId="1948385954">
    <w:abstractNumId w:val="1"/>
  </w:num>
  <w:num w:numId="6" w16cid:durableId="931477825">
    <w:abstractNumId w:val="5"/>
  </w:num>
  <w:num w:numId="7" w16cid:durableId="1152411899">
    <w:abstractNumId w:val="0"/>
  </w:num>
  <w:num w:numId="8" w16cid:durableId="1847474315">
    <w:abstractNumId w:val="9"/>
  </w:num>
  <w:num w:numId="9" w16cid:durableId="1430009617">
    <w:abstractNumId w:val="6"/>
  </w:num>
  <w:num w:numId="10" w16cid:durableId="618149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92"/>
    <w:rsid w:val="000013EE"/>
    <w:rsid w:val="00023E5B"/>
    <w:rsid w:val="0002527F"/>
    <w:rsid w:val="00033D66"/>
    <w:rsid w:val="0004009A"/>
    <w:rsid w:val="00041527"/>
    <w:rsid w:val="0005330B"/>
    <w:rsid w:val="000560FB"/>
    <w:rsid w:val="00084400"/>
    <w:rsid w:val="000909A6"/>
    <w:rsid w:val="000A4FC5"/>
    <w:rsid w:val="000A6B69"/>
    <w:rsid w:val="000D1147"/>
    <w:rsid w:val="000D5B63"/>
    <w:rsid w:val="000F1714"/>
    <w:rsid w:val="000F7F76"/>
    <w:rsid w:val="001038AF"/>
    <w:rsid w:val="00113065"/>
    <w:rsid w:val="00134207"/>
    <w:rsid w:val="00140CE2"/>
    <w:rsid w:val="001764A8"/>
    <w:rsid w:val="001A3DF4"/>
    <w:rsid w:val="001B5DA0"/>
    <w:rsid w:val="001E2A65"/>
    <w:rsid w:val="001E4A3B"/>
    <w:rsid w:val="001E7DEB"/>
    <w:rsid w:val="001F2D64"/>
    <w:rsid w:val="0021017A"/>
    <w:rsid w:val="00223DCE"/>
    <w:rsid w:val="0025234A"/>
    <w:rsid w:val="00254C46"/>
    <w:rsid w:val="00273A33"/>
    <w:rsid w:val="00283697"/>
    <w:rsid w:val="0029365B"/>
    <w:rsid w:val="002B58BD"/>
    <w:rsid w:val="002C2E2A"/>
    <w:rsid w:val="002D0948"/>
    <w:rsid w:val="002D588F"/>
    <w:rsid w:val="002D707D"/>
    <w:rsid w:val="002D7894"/>
    <w:rsid w:val="002E169A"/>
    <w:rsid w:val="002E73E2"/>
    <w:rsid w:val="002E78F4"/>
    <w:rsid w:val="002F5AF9"/>
    <w:rsid w:val="00314627"/>
    <w:rsid w:val="003260DA"/>
    <w:rsid w:val="00334B68"/>
    <w:rsid w:val="00335CC9"/>
    <w:rsid w:val="003408B0"/>
    <w:rsid w:val="0038102D"/>
    <w:rsid w:val="00396909"/>
    <w:rsid w:val="003A06DB"/>
    <w:rsid w:val="003A221A"/>
    <w:rsid w:val="003E6D70"/>
    <w:rsid w:val="003E769A"/>
    <w:rsid w:val="0040633A"/>
    <w:rsid w:val="004074E3"/>
    <w:rsid w:val="00412633"/>
    <w:rsid w:val="004178EE"/>
    <w:rsid w:val="0042571E"/>
    <w:rsid w:val="00434619"/>
    <w:rsid w:val="0045191E"/>
    <w:rsid w:val="00457EEC"/>
    <w:rsid w:val="0046413C"/>
    <w:rsid w:val="00473414"/>
    <w:rsid w:val="004938AB"/>
    <w:rsid w:val="00495A50"/>
    <w:rsid w:val="004B1B66"/>
    <w:rsid w:val="004B6392"/>
    <w:rsid w:val="004B6837"/>
    <w:rsid w:val="004D47CB"/>
    <w:rsid w:val="004F19F2"/>
    <w:rsid w:val="00522456"/>
    <w:rsid w:val="00546085"/>
    <w:rsid w:val="005543E7"/>
    <w:rsid w:val="00563D0F"/>
    <w:rsid w:val="005648CE"/>
    <w:rsid w:val="005817B0"/>
    <w:rsid w:val="005A53BF"/>
    <w:rsid w:val="005D1CCE"/>
    <w:rsid w:val="0060122E"/>
    <w:rsid w:val="00614280"/>
    <w:rsid w:val="00622022"/>
    <w:rsid w:val="006273A3"/>
    <w:rsid w:val="00651ABC"/>
    <w:rsid w:val="006529E1"/>
    <w:rsid w:val="00666C0B"/>
    <w:rsid w:val="00676ED6"/>
    <w:rsid w:val="006B4B49"/>
    <w:rsid w:val="006B5C0D"/>
    <w:rsid w:val="006D0437"/>
    <w:rsid w:val="006E0590"/>
    <w:rsid w:val="006E6634"/>
    <w:rsid w:val="007074E4"/>
    <w:rsid w:val="00711C02"/>
    <w:rsid w:val="00725DA0"/>
    <w:rsid w:val="00734C81"/>
    <w:rsid w:val="00741A57"/>
    <w:rsid w:val="00744AD7"/>
    <w:rsid w:val="00755B73"/>
    <w:rsid w:val="0077402D"/>
    <w:rsid w:val="00786B42"/>
    <w:rsid w:val="0079485B"/>
    <w:rsid w:val="007B2CD9"/>
    <w:rsid w:val="007B3F68"/>
    <w:rsid w:val="007B6825"/>
    <w:rsid w:val="007C15C3"/>
    <w:rsid w:val="007D1911"/>
    <w:rsid w:val="007E1F50"/>
    <w:rsid w:val="008113B2"/>
    <w:rsid w:val="00824CE1"/>
    <w:rsid w:val="00836B38"/>
    <w:rsid w:val="00846A84"/>
    <w:rsid w:val="00851FA8"/>
    <w:rsid w:val="008A7500"/>
    <w:rsid w:val="008B241C"/>
    <w:rsid w:val="008C11F7"/>
    <w:rsid w:val="008C523C"/>
    <w:rsid w:val="008D30FC"/>
    <w:rsid w:val="008D541E"/>
    <w:rsid w:val="008E2B5E"/>
    <w:rsid w:val="009167D6"/>
    <w:rsid w:val="0093440B"/>
    <w:rsid w:val="009613EA"/>
    <w:rsid w:val="00972A66"/>
    <w:rsid w:val="00996B31"/>
    <w:rsid w:val="009A6DA8"/>
    <w:rsid w:val="009B1B7E"/>
    <w:rsid w:val="009B2416"/>
    <w:rsid w:val="009C50ED"/>
    <w:rsid w:val="009C7771"/>
    <w:rsid w:val="009D66BF"/>
    <w:rsid w:val="00A065E7"/>
    <w:rsid w:val="00A12404"/>
    <w:rsid w:val="00A30B6B"/>
    <w:rsid w:val="00A312EC"/>
    <w:rsid w:val="00A352E7"/>
    <w:rsid w:val="00A448AE"/>
    <w:rsid w:val="00A522ED"/>
    <w:rsid w:val="00A66D2D"/>
    <w:rsid w:val="00A7367C"/>
    <w:rsid w:val="00AB0D18"/>
    <w:rsid w:val="00AD1BB1"/>
    <w:rsid w:val="00AD3868"/>
    <w:rsid w:val="00AF4D35"/>
    <w:rsid w:val="00B1188A"/>
    <w:rsid w:val="00B150D4"/>
    <w:rsid w:val="00B253B3"/>
    <w:rsid w:val="00B26C27"/>
    <w:rsid w:val="00B34487"/>
    <w:rsid w:val="00B467CE"/>
    <w:rsid w:val="00B502D6"/>
    <w:rsid w:val="00B70C32"/>
    <w:rsid w:val="00B84205"/>
    <w:rsid w:val="00BA5E67"/>
    <w:rsid w:val="00BB63E1"/>
    <w:rsid w:val="00BE322F"/>
    <w:rsid w:val="00C0134D"/>
    <w:rsid w:val="00C039A3"/>
    <w:rsid w:val="00C22D3A"/>
    <w:rsid w:val="00C72A4C"/>
    <w:rsid w:val="00C77D29"/>
    <w:rsid w:val="00CA784A"/>
    <w:rsid w:val="00D0045C"/>
    <w:rsid w:val="00D0250B"/>
    <w:rsid w:val="00D0254A"/>
    <w:rsid w:val="00D039E1"/>
    <w:rsid w:val="00D07616"/>
    <w:rsid w:val="00D14617"/>
    <w:rsid w:val="00D26A98"/>
    <w:rsid w:val="00D72929"/>
    <w:rsid w:val="00D73A46"/>
    <w:rsid w:val="00D845D3"/>
    <w:rsid w:val="00D91224"/>
    <w:rsid w:val="00D91DBF"/>
    <w:rsid w:val="00D93AFB"/>
    <w:rsid w:val="00D94EB2"/>
    <w:rsid w:val="00DC40A6"/>
    <w:rsid w:val="00DD355E"/>
    <w:rsid w:val="00DF3DD6"/>
    <w:rsid w:val="00E26AA4"/>
    <w:rsid w:val="00E67568"/>
    <w:rsid w:val="00E7580A"/>
    <w:rsid w:val="00E94A4C"/>
    <w:rsid w:val="00EA23BB"/>
    <w:rsid w:val="00EB0C0B"/>
    <w:rsid w:val="00EC2AA2"/>
    <w:rsid w:val="00EE6178"/>
    <w:rsid w:val="00EF1048"/>
    <w:rsid w:val="00F0773A"/>
    <w:rsid w:val="00F170A0"/>
    <w:rsid w:val="00F4464A"/>
    <w:rsid w:val="00F449E3"/>
    <w:rsid w:val="00F55C22"/>
    <w:rsid w:val="00F65722"/>
    <w:rsid w:val="00F81DAE"/>
    <w:rsid w:val="00F958E7"/>
    <w:rsid w:val="00FD6648"/>
    <w:rsid w:val="00FF1E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F96D7"/>
  <w15:chartTrackingRefBased/>
  <w15:docId w15:val="{940816A7-D3F2-4635-9751-2BB681CF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39E1"/>
    <w:pPr>
      <w:ind w:left="720"/>
      <w:contextualSpacing/>
    </w:pPr>
  </w:style>
  <w:style w:type="paragraph" w:styleId="Didascalia">
    <w:name w:val="caption"/>
    <w:basedOn w:val="Normale"/>
    <w:next w:val="Normale"/>
    <w:link w:val="DidascaliaCarattere"/>
    <w:uiPriority w:val="35"/>
    <w:unhideWhenUsed/>
    <w:qFormat/>
    <w:rsid w:val="002B58BD"/>
    <w:pPr>
      <w:spacing w:after="200" w:line="240" w:lineRule="auto"/>
    </w:pPr>
    <w:rPr>
      <w:rFonts w:asciiTheme="minorHAnsi" w:hAnsiTheme="minorHAnsi" w:cstheme="minorBidi"/>
      <w:bCs w:val="0"/>
      <w:i/>
      <w:iCs/>
      <w:color w:val="44546A" w:themeColor="text2"/>
      <w:kern w:val="0"/>
      <w:sz w:val="18"/>
      <w:szCs w:val="18"/>
      <w14:ligatures w14:val="none"/>
    </w:rPr>
  </w:style>
  <w:style w:type="table" w:styleId="Grigliatabella">
    <w:name w:val="Table Grid"/>
    <w:basedOn w:val="Tabellanormale"/>
    <w:uiPriority w:val="39"/>
    <w:rsid w:val="002B58BD"/>
    <w:pPr>
      <w:spacing w:after="0" w:line="240" w:lineRule="auto"/>
      <w:jc w:val="both"/>
    </w:pPr>
    <w:rPr>
      <w:bCs w:val="0"/>
      <w:kern w:val="0"/>
      <w:lang w:val="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8113B2"/>
    <w:rPr>
      <w:color w:val="808080"/>
    </w:rPr>
  </w:style>
  <w:style w:type="character" w:styleId="Rimandocommento">
    <w:name w:val="annotation reference"/>
    <w:basedOn w:val="Carpredefinitoparagrafo"/>
    <w:uiPriority w:val="99"/>
    <w:semiHidden/>
    <w:unhideWhenUsed/>
    <w:rsid w:val="00A7367C"/>
    <w:rPr>
      <w:sz w:val="16"/>
      <w:szCs w:val="16"/>
    </w:rPr>
  </w:style>
  <w:style w:type="paragraph" w:styleId="Testocommento">
    <w:name w:val="annotation text"/>
    <w:basedOn w:val="Normale"/>
    <w:link w:val="TestocommentoCarattere"/>
    <w:uiPriority w:val="99"/>
    <w:unhideWhenUsed/>
    <w:rsid w:val="00A7367C"/>
    <w:pPr>
      <w:spacing w:line="240" w:lineRule="auto"/>
    </w:pPr>
    <w:rPr>
      <w:sz w:val="20"/>
      <w:szCs w:val="20"/>
    </w:rPr>
  </w:style>
  <w:style w:type="character" w:customStyle="1" w:styleId="TestocommentoCarattere">
    <w:name w:val="Testo commento Carattere"/>
    <w:basedOn w:val="Carpredefinitoparagrafo"/>
    <w:link w:val="Testocommento"/>
    <w:uiPriority w:val="99"/>
    <w:rsid w:val="00A7367C"/>
    <w:rPr>
      <w:sz w:val="20"/>
      <w:szCs w:val="20"/>
    </w:rPr>
  </w:style>
  <w:style w:type="paragraph" w:styleId="Soggettocommento">
    <w:name w:val="annotation subject"/>
    <w:basedOn w:val="Testocommento"/>
    <w:next w:val="Testocommento"/>
    <w:link w:val="SoggettocommentoCarattere"/>
    <w:uiPriority w:val="99"/>
    <w:semiHidden/>
    <w:unhideWhenUsed/>
    <w:rsid w:val="00A7367C"/>
    <w:rPr>
      <w:b/>
    </w:rPr>
  </w:style>
  <w:style w:type="character" w:customStyle="1" w:styleId="SoggettocommentoCarattere">
    <w:name w:val="Soggetto commento Carattere"/>
    <w:basedOn w:val="TestocommentoCarattere"/>
    <w:link w:val="Soggettocommento"/>
    <w:uiPriority w:val="99"/>
    <w:semiHidden/>
    <w:rsid w:val="00A7367C"/>
    <w:rPr>
      <w:b/>
      <w:sz w:val="20"/>
      <w:szCs w:val="20"/>
    </w:rPr>
  </w:style>
  <w:style w:type="character" w:customStyle="1" w:styleId="DidascaliaCarattere">
    <w:name w:val="Didascalia Carattere"/>
    <w:basedOn w:val="Carpredefinitoparagrafo"/>
    <w:link w:val="Didascalia"/>
    <w:uiPriority w:val="35"/>
    <w:rsid w:val="008C523C"/>
    <w:rPr>
      <w:rFonts w:asciiTheme="minorHAnsi" w:hAnsiTheme="minorHAnsi" w:cstheme="minorBidi"/>
      <w:bCs w:val="0"/>
      <w:i/>
      <w:iCs/>
      <w:color w:val="44546A" w:themeColor="text2"/>
      <w:kern w:val="0"/>
      <w:sz w:val="18"/>
      <w:szCs w:val="18"/>
      <w14:ligatures w14:val="none"/>
    </w:rPr>
  </w:style>
  <w:style w:type="paragraph" w:styleId="Intestazione">
    <w:name w:val="header"/>
    <w:basedOn w:val="Normale"/>
    <w:link w:val="IntestazioneCarattere"/>
    <w:uiPriority w:val="99"/>
    <w:unhideWhenUsed/>
    <w:rsid w:val="007740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402D"/>
  </w:style>
  <w:style w:type="paragraph" w:styleId="Pidipagina">
    <w:name w:val="footer"/>
    <w:basedOn w:val="Normale"/>
    <w:link w:val="PidipaginaCarattere"/>
    <w:uiPriority w:val="99"/>
    <w:unhideWhenUsed/>
    <w:rsid w:val="007740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402D"/>
  </w:style>
  <w:style w:type="paragraph" w:styleId="Testonotaapidipagina">
    <w:name w:val="footnote text"/>
    <w:basedOn w:val="Normale"/>
    <w:link w:val="TestonotaapidipaginaCarattere"/>
    <w:uiPriority w:val="99"/>
    <w:semiHidden/>
    <w:unhideWhenUsed/>
    <w:rsid w:val="00651AB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51ABC"/>
    <w:rPr>
      <w:sz w:val="20"/>
      <w:szCs w:val="20"/>
    </w:rPr>
  </w:style>
  <w:style w:type="character" w:styleId="Rimandonotaapidipagina">
    <w:name w:val="footnote reference"/>
    <w:basedOn w:val="Carpredefinitoparagrafo"/>
    <w:uiPriority w:val="99"/>
    <w:semiHidden/>
    <w:unhideWhenUsed/>
    <w:rsid w:val="00651A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png"/><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A883E-3B7E-4113-87E5-E7F9A4689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8210</TotalTime>
  <Pages>8</Pages>
  <Words>3000</Words>
  <Characters>17104</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MATURO</dc:creator>
  <cp:keywords/>
  <dc:description/>
  <cp:lastModifiedBy>Anthony Maturo</cp:lastModifiedBy>
  <cp:revision>208</cp:revision>
  <dcterms:created xsi:type="dcterms:W3CDTF">2023-08-08T19:17:00Z</dcterms:created>
  <dcterms:modified xsi:type="dcterms:W3CDTF">2023-09-12T15:18:00Z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2023-08-08T19:27:00Z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d419e173-2b02-442a-9635-6b1e95c03da3</vt:lpwstr>
  </property>
  <property fmtid="{D5CDD505-2E9C-101B-9397-08002B2CF9AE}" pid="8" name="MSIP_Label_2ad0b24d-6422-44b0-b3de-abb3a9e8c81a_ContentBits">
    <vt:lpwstr>0</vt:lpwstr>
  </property>
</Properties>
</file>