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0054cb9193c5400bec925cc4cff86d2e664933"/>
    <w:p>
      <w:pPr>
        <w:pStyle w:val="Heading1"/>
      </w:pPr>
      <w:r>
        <w:t xml:space="preserve">Rapport – Syft, Grype et SBOM : chaîne de confiance et vulnérabilités</w:t>
      </w:r>
    </w:p>
    <w:p>
      <w:pPr>
        <w:pStyle w:val="FirstParagraph"/>
      </w:pPr>
      <w:r>
        <w:rPr>
          <w:b/>
          <w:bCs/>
        </w:rPr>
        <w:t xml:space="preserve">Projet :</w:t>
      </w:r>
      <w:r>
        <w:t xml:space="preserve"> </w:t>
      </w:r>
      <w:r>
        <w:t xml:space="preserve">Sysft-Grype-CICD – Security M2</w:t>
      </w:r>
      <w:r>
        <w:br/>
      </w:r>
      <w:r>
        <w:rPr>
          <w:b/>
          <w:bCs/>
        </w:rPr>
        <w:t xml:space="preserve">Contexte :</w:t>
      </w:r>
      <w:r>
        <w:t xml:space="preserve"> </w:t>
      </w:r>
      <w:r>
        <w:t xml:space="preserve">UADB M2 – Sécurité logicielle</w:t>
      </w:r>
      <w:r>
        <w:br/>
      </w:r>
      <w:r>
        <w:rPr>
          <w:b/>
          <w:bCs/>
        </w:rPr>
        <w:t xml:space="preserve">Date :</w:t>
      </w:r>
      <w:r>
        <w:t xml:space="preserve"> </w:t>
      </w:r>
      <w:r>
        <w:t xml:space="preserve">2026</w:t>
      </w:r>
    </w:p>
    <w:p>
      <w:r>
        <w:pict>
          <v:rect style="width:0;height:1.5pt" o:hralign="center" o:hrstd="t" o:hr="t"/>
        </w:pict>
      </w:r>
    </w:p>
    <w:bookmarkStart w:id="11" w:name="contexte-et-objectifs"/>
    <w:p>
      <w:pPr>
        <w:pStyle w:val="Heading2"/>
      </w:pPr>
      <w:r>
        <w:t xml:space="preserve">1. Contexte et objectifs</w:t>
      </w:r>
    </w:p>
    <w:bookmarkStart w:id="9" w:name="contexte"/>
    <w:p>
      <w:pPr>
        <w:pStyle w:val="Heading3"/>
      </w:pPr>
      <w:r>
        <w:t xml:space="preserve">1.1 Contexte</w:t>
      </w:r>
    </w:p>
    <w:p>
      <w:pPr>
        <w:pStyle w:val="FirstParagraph"/>
      </w:pPr>
      <w:r>
        <w:t xml:space="preserve">La traçabilité des dépendances logicielles et la détection des vulnérabilités (CVE) sont des exigences croissantes (NIS2, ANSSI, EO 14028). Un</w:t>
      </w:r>
      <w:r>
        <w:t xml:space="preserve"> </w:t>
      </w:r>
      <w:r>
        <w:rPr>
          <w:b/>
          <w:bCs/>
        </w:rPr>
        <w:t xml:space="preserve">SBOM</w:t>
      </w:r>
      <w:r>
        <w:t xml:space="preserve"> </w:t>
      </w:r>
      <w:r>
        <w:t xml:space="preserve">(Software Bill of Materials) constitue l’inventaire reproductible des composants d’un projet ou d’une image ; il sert de base à l’analyse de vulnérabilités et à la conformité.</w:t>
      </w:r>
    </w:p>
    <w:bookmarkEnd w:id="9"/>
    <w:bookmarkStart w:id="10" w:name="objectifs-du-projet"/>
    <w:p>
      <w:pPr>
        <w:pStyle w:val="Heading3"/>
      </w:pPr>
      <w:r>
        <w:t xml:space="preserve">1.2 Objectifs du projet</w:t>
      </w:r>
    </w:p>
    <w:p>
      <w:pPr>
        <w:pStyle w:val="Compact"/>
        <w:numPr>
          <w:ilvl w:val="0"/>
          <w:numId w:val="1001"/>
        </w:numPr>
      </w:pPr>
      <w:r>
        <w:t xml:space="preserve">Mettre en œuvre</w:t>
      </w:r>
      <w:r>
        <w:t xml:space="preserve"> </w:t>
      </w:r>
      <w:r>
        <w:rPr>
          <w:b/>
          <w:bCs/>
        </w:rPr>
        <w:t xml:space="preserve">Syft</w:t>
      </w:r>
      <w:r>
        <w:t xml:space="preserve"> </w:t>
      </w:r>
      <w:r>
        <w:t xml:space="preserve">(Anchore) pour générer des SBOM à partir d’un répertoire ou d’une image Docker.</w:t>
      </w:r>
    </w:p>
    <w:p>
      <w:pPr>
        <w:pStyle w:val="Compact"/>
        <w:numPr>
          <w:ilvl w:val="0"/>
          <w:numId w:val="1001"/>
        </w:numPr>
      </w:pPr>
      <w:r>
        <w:t xml:space="preserve">Utiliser</w:t>
      </w:r>
      <w:r>
        <w:t xml:space="preserve"> </w:t>
      </w:r>
      <w:r>
        <w:rPr>
          <w:b/>
          <w:bCs/>
        </w:rPr>
        <w:t xml:space="preserve">Grype</w:t>
      </w:r>
      <w:r>
        <w:t xml:space="preserve"> </w:t>
      </w:r>
      <w:r>
        <w:t xml:space="preserve">pour scanner les vulnérabilités à partir du SBOM.</w:t>
      </w:r>
    </w:p>
    <w:p>
      <w:pPr>
        <w:pStyle w:val="Compact"/>
        <w:numPr>
          <w:ilvl w:val="0"/>
          <w:numId w:val="1001"/>
        </w:numPr>
      </w:pPr>
      <w:r>
        <w:t xml:space="preserve">Automatiser le pipeline (SBOM + Grype + rapports) en local et en</w:t>
      </w:r>
      <w:r>
        <w:t xml:space="preserve"> </w:t>
      </w:r>
      <w:r>
        <w:rPr>
          <w:b/>
          <w:bCs/>
        </w:rPr>
        <w:t xml:space="preserve">CI/CD</w:t>
      </w:r>
      <w:r>
        <w:t xml:space="preserve"> </w:t>
      </w:r>
      <w:r>
        <w:t xml:space="preserve">(GitHub Actions).</w:t>
      </w:r>
    </w:p>
    <w:p>
      <w:pPr>
        <w:pStyle w:val="Compact"/>
        <w:numPr>
          <w:ilvl w:val="0"/>
          <w:numId w:val="1001"/>
        </w:numPr>
      </w:pPr>
      <w:r>
        <w:t xml:space="preserve">Produire des rapports exploitables (JSON, HTML, présentables) pour une démonstration ou un audit.</w:t>
      </w:r>
    </w:p>
    <w:p>
      <w:r>
        <w:pict>
          <v:rect style="width:0;height:1.5pt" o:hralign="center" o:hrstd="t" o:hr="t"/>
        </w:pict>
      </w:r>
    </w:p>
    <w:bookmarkEnd w:id="10"/>
    <w:bookmarkEnd w:id="11"/>
    <w:bookmarkStart w:id="12" w:name="outils-utilisés"/>
    <w:p>
      <w:pPr>
        <w:pStyle w:val="Heading2"/>
      </w:pPr>
      <w:r>
        <w:t xml:space="preserve">2. Outils utilisés</w:t>
      </w:r>
    </w:p>
    <w:tbl>
      <w:tblPr>
        <w:tblStyle w:val="Table"/>
        <w:tblW w:type="pct" w:w="5000"/>
        <w:tblLayout w:type="fixed"/>
        <w:tblLook w:firstRow="1" w:lastRow="0" w:firstColumn="0" w:lastColumn="0" w:noHBand="0" w:noVBand="0" w:val="0020"/>
      </w:tblPr>
      <w:tblGrid>
        <w:gridCol w:w="1848"/>
        <w:gridCol w:w="1584"/>
        <w:gridCol w:w="4488"/>
      </w:tblGrid>
      <w:tr>
        <w:trPr>
          <w:tblHeader w:val="on"/>
        </w:trPr>
        <w:tc>
          <w:tcPr/>
          <w:p>
            <w:pPr>
              <w:pStyle w:val="Compact"/>
            </w:pPr>
            <w:r>
              <w:t xml:space="preserve">Outil</w:t>
            </w:r>
          </w:p>
        </w:tc>
        <w:tc>
          <w:tcPr/>
          <w:p>
            <w:pPr>
              <w:pStyle w:val="Compact"/>
            </w:pPr>
            <w:r>
              <w:t xml:space="preserve">Rôle</w:t>
            </w:r>
          </w:p>
        </w:tc>
        <w:tc>
          <w:tcPr/>
          <w:p>
            <w:pPr>
              <w:pStyle w:val="Compact"/>
            </w:pPr>
            <w:r>
              <w:t xml:space="preserve">Version typique</w:t>
            </w:r>
          </w:p>
        </w:tc>
      </w:tr>
      <w:tr>
        <w:tc>
          <w:tcPr/>
          <w:p>
            <w:pPr>
              <w:pStyle w:val="Compact"/>
            </w:pPr>
            <w:r>
              <w:rPr>
                <w:b/>
                <w:bCs/>
              </w:rPr>
              <w:t xml:space="preserve">Syft</w:t>
            </w:r>
          </w:p>
        </w:tc>
        <w:tc>
          <w:tcPr/>
          <w:p>
            <w:pPr>
              <w:pStyle w:val="Compact"/>
            </w:pPr>
            <w:r>
              <w:t xml:space="preserve">Génération de SBOM (CycloneDX, SPDX, Syft JSON) à partir de répertoires ou d’images</w:t>
            </w:r>
          </w:p>
        </w:tc>
        <w:tc>
          <w:tcPr/>
          <w:p>
            <w:pPr>
              <w:pStyle w:val="Compact"/>
            </w:pPr>
            <w:r>
              <w:t xml:space="preserve">1.42.x</w:t>
            </w:r>
          </w:p>
        </w:tc>
      </w:tr>
      <w:tr>
        <w:tc>
          <w:tcPr/>
          <w:p>
            <w:pPr>
              <w:pStyle w:val="Compact"/>
            </w:pPr>
            <w:r>
              <w:rPr>
                <w:b/>
                <w:bCs/>
              </w:rPr>
              <w:t xml:space="preserve">Grype</w:t>
            </w:r>
          </w:p>
        </w:tc>
        <w:tc>
          <w:tcPr/>
          <w:p>
            <w:pPr>
              <w:pStyle w:val="Compact"/>
            </w:pPr>
            <w:r>
              <w:t xml:space="preserve">Scan des vulnérabilités à partir d’un SBOM ou d’une cible directe ; base de vulnérabilités (NVD, GitHub Advisory, Alpine SecDB, etc.)</w:t>
            </w:r>
          </w:p>
        </w:tc>
        <w:tc>
          <w:tcPr/>
          <w:p>
            <w:pPr>
              <w:pStyle w:val="Compact"/>
            </w:pPr>
            <w:r>
              <w:t xml:space="preserve">0.109.x</w:t>
            </w:r>
          </w:p>
        </w:tc>
      </w:tr>
      <w:tr>
        <w:tc>
          <w:tcPr/>
          <w:p>
            <w:pPr>
              <w:pStyle w:val="Compact"/>
            </w:pPr>
            <w:r>
              <w:rPr>
                <w:b/>
                <w:bCs/>
              </w:rPr>
              <w:t xml:space="preserve">GitHub Actions</w:t>
            </w:r>
          </w:p>
        </w:tc>
        <w:tc>
          <w:tcPr/>
          <w:p>
            <w:pPr>
              <w:pStyle w:val="Compact"/>
            </w:pPr>
            <w:r>
              <w:t xml:space="preserve">Exécution du pipeline (Syft + Grype) à chaque push/PR ; artefacts SBOM et rapports</w:t>
            </w:r>
          </w:p>
        </w:tc>
        <w:tc>
          <w:tcPr/>
          <w:p>
            <w:pPr>
              <w:pStyle w:val="Compact"/>
            </w:pPr>
            <w:r>
              <w:t xml:space="preserve">—</w:t>
            </w:r>
          </w:p>
        </w:tc>
      </w:tr>
    </w:tbl>
    <w:p>
      <w:r>
        <w:pict>
          <v:rect style="width:0;height:1.5pt" o:hralign="center" o:hrstd="t" o:hr="t"/>
        </w:pict>
      </w:r>
    </w:p>
    <w:bookmarkEnd w:id="12"/>
    <w:bookmarkStart w:id="13" w:name="cible-analysée-application-exemple"/>
    <w:p>
      <w:pPr>
        <w:pStyle w:val="Heading2"/>
      </w:pPr>
      <w:r>
        <w:t xml:space="preserve">3. Cible analysée : application exemple</w:t>
      </w:r>
    </w:p>
    <w:p>
      <w:pPr>
        <w:pStyle w:val="Compact"/>
        <w:numPr>
          <w:ilvl w:val="0"/>
          <w:numId w:val="1002"/>
        </w:numPr>
      </w:pPr>
      <w:r>
        <w:rPr>
          <w:b/>
          <w:bCs/>
        </w:rPr>
        <w:t xml:space="preserve">Répertoire :</w:t>
      </w:r>
      <w:r>
        <w:t xml:space="preserve"> </w:t>
      </w:r>
      <w:r>
        <w:rPr>
          <w:rStyle w:val="VerbatimChar"/>
        </w:rPr>
        <w:t xml:space="preserve">app-exemple</w:t>
      </w:r>
      <w:r>
        <w:t xml:space="preserve"> </w:t>
      </w:r>
      <w:r>
        <w:t xml:space="preserve">– application Node.js (Express, Lodash, Axios).</w:t>
      </w:r>
    </w:p>
    <w:p>
      <w:pPr>
        <w:pStyle w:val="Compact"/>
        <w:numPr>
          <w:ilvl w:val="0"/>
          <w:numId w:val="1002"/>
        </w:numPr>
      </w:pPr>
      <w:r>
        <w:rPr>
          <w:b/>
          <w:bCs/>
        </w:rPr>
        <w:t xml:space="preserve">Image Docker :</w:t>
      </w:r>
      <w:r>
        <w:t xml:space="preserve"> </w:t>
      </w:r>
      <w:r>
        <w:t xml:space="preserve">construite à partir de</w:t>
      </w:r>
      <w:r>
        <w:t xml:space="preserve"> </w:t>
      </w:r>
      <w:r>
        <w:rPr>
          <w:rStyle w:val="VerbatimChar"/>
        </w:rPr>
        <w:t xml:space="preserve">app-exemple/Dockerfile</w:t>
      </w:r>
      <w:r>
        <w:t xml:space="preserve"> </w:t>
      </w:r>
      <w:r>
        <w:t xml:space="preserve">(base</w:t>
      </w:r>
      <w:r>
        <w:t xml:space="preserve"> </w:t>
      </w:r>
      <w:r>
        <w:rPr>
          <w:rStyle w:val="VerbatimChar"/>
        </w:rPr>
        <w:t xml:space="preserve">node:20-alpine</w:t>
      </w:r>
      <w:r>
        <w:t xml:space="preserve">), image nommée</w:t>
      </w:r>
      <w:r>
        <w:t xml:space="preserve"> </w:t>
      </w:r>
      <w:r>
        <w:rPr>
          <w:rStyle w:val="VerbatimChar"/>
        </w:rPr>
        <w:t xml:space="preserve">app-exemple-sbom:1.0</w:t>
      </w:r>
      <w:r>
        <w:t xml:space="preserve">.</w:t>
      </w:r>
    </w:p>
    <w:p>
      <w:pPr>
        <w:pStyle w:val="Compact"/>
        <w:numPr>
          <w:ilvl w:val="0"/>
          <w:numId w:val="1002"/>
        </w:numPr>
      </w:pPr>
      <w:r>
        <w:t xml:space="preserve">Pour les besoins de la démo, des</w:t>
      </w:r>
      <w:r>
        <w:t xml:space="preserve"> </w:t>
      </w:r>
      <w:r>
        <w:rPr>
          <w:b/>
          <w:bCs/>
        </w:rPr>
        <w:t xml:space="preserve">versions volontairement vulnérables</w:t>
      </w:r>
      <w:r>
        <w:t xml:space="preserve"> </w:t>
      </w:r>
      <w:r>
        <w:t xml:space="preserve">ont été utilisées (ex. lodash 4.17.20) afin d’obtenir des résultats dans les rapports Grype.</w:t>
      </w:r>
    </w:p>
    <w:p>
      <w:r>
        <w:pict>
          <v:rect style="width:0;height:1.5pt" o:hralign="center" o:hrstd="t" o:hr="t"/>
        </w:pict>
      </w:r>
    </w:p>
    <w:bookmarkEnd w:id="13"/>
    <w:bookmarkStart w:id="17" w:name="méthodologie-et-pipeline"/>
    <w:p>
      <w:pPr>
        <w:pStyle w:val="Heading2"/>
      </w:pPr>
      <w:r>
        <w:t xml:space="preserve">4. Méthodologie et pipeline</w:t>
      </w:r>
    </w:p>
    <w:bookmarkStart w:id="14" w:name="chaîne-globale"/>
    <w:p>
      <w:pPr>
        <w:pStyle w:val="Heading3"/>
      </w:pPr>
      <w:r>
        <w:t xml:space="preserve">4.1 Chaîne globale</w:t>
      </w:r>
    </w:p>
    <w:p>
      <w:pPr>
        <w:pStyle w:val="Compact"/>
        <w:numPr>
          <w:ilvl w:val="0"/>
          <w:numId w:val="1003"/>
        </w:numPr>
      </w:pPr>
      <w:r>
        <w:rPr>
          <w:b/>
          <w:bCs/>
        </w:rPr>
        <w:t xml:space="preserve">Syft</w:t>
      </w:r>
      <w:r>
        <w:t xml:space="preserve"> </w:t>
      </w:r>
      <w:r>
        <w:t xml:space="preserve">: scan de la cible (répertoire ou image) → génération d’un SBOM au format CycloneDX (JSON).</w:t>
      </w:r>
    </w:p>
    <w:p>
      <w:pPr>
        <w:pStyle w:val="Compact"/>
        <w:numPr>
          <w:ilvl w:val="0"/>
          <w:numId w:val="1003"/>
        </w:numPr>
      </w:pPr>
      <w:r>
        <w:rPr>
          <w:b/>
          <w:bCs/>
        </w:rPr>
        <w:t xml:space="preserve">Grype</w:t>
      </w:r>
      <w:r>
        <w:t xml:space="preserve"> </w:t>
      </w:r>
      <w:r>
        <w:t xml:space="preserve">: lecture du SBOM → comparaison avec la base de vulnérabilités → rapport (table, JSON).</w:t>
      </w:r>
    </w:p>
    <w:p>
      <w:pPr>
        <w:pStyle w:val="Compact"/>
        <w:numPr>
          <w:ilvl w:val="0"/>
          <w:numId w:val="1003"/>
        </w:numPr>
      </w:pPr>
      <w:r>
        <w:rPr>
          <w:b/>
          <w:bCs/>
        </w:rPr>
        <w:t xml:space="preserve">Rapport HTML</w:t>
      </w:r>
      <w:r>
        <w:t xml:space="preserve"> </w:t>
      </w:r>
      <w:r>
        <w:t xml:space="preserve">: génération d’un fichier</w:t>
      </w:r>
      <w:r>
        <w:t xml:space="preserve"> </w:t>
      </w:r>
      <w:r>
        <w:rPr>
          <w:rStyle w:val="VerbatimChar"/>
        </w:rPr>
        <w:t xml:space="preserve">rapports/vulns-report.html</w:t>
      </w:r>
      <w:r>
        <w:t xml:space="preserve"> </w:t>
      </w:r>
      <w:r>
        <w:t xml:space="preserve">à partir du JSON Grype (tableau par sévérité, liens vers les avis).</w:t>
      </w:r>
    </w:p>
    <w:p>
      <w:pPr>
        <w:pStyle w:val="Compact"/>
        <w:numPr>
          <w:ilvl w:val="0"/>
          <w:numId w:val="1003"/>
        </w:numPr>
      </w:pPr>
      <w:r>
        <w:rPr>
          <w:b/>
          <w:bCs/>
        </w:rPr>
        <w:t xml:space="preserve">CI/CD</w:t>
      </w:r>
      <w:r>
        <w:t xml:space="preserve"> </w:t>
      </w:r>
      <w:r>
        <w:t xml:space="preserve">: le workflow</w:t>
      </w:r>
      <w:r>
        <w:t xml:space="preserve"> </w:t>
      </w:r>
      <w:r>
        <w:rPr>
          <w:rStyle w:val="VerbatimChar"/>
        </w:rPr>
        <w:t xml:space="preserve">.github/workflows/sbom-grype.yml</w:t>
      </w:r>
      <w:r>
        <w:t xml:space="preserve"> </w:t>
      </w:r>
      <w:r>
        <w:t xml:space="preserve">exécute Syft puis Grype à chaque push/PR sur</w:t>
      </w:r>
      <w:r>
        <w:t xml:space="preserve"> </w:t>
      </w:r>
      <w:r>
        <w:rPr>
          <w:rStyle w:val="VerbatimChar"/>
        </w:rPr>
        <w:t xml:space="preserve">main</w:t>
      </w:r>
      <w:r>
        <w:t xml:space="preserve">, et publie les artefacts (SBOM, rapport vulns, rapport HTML).</w:t>
      </w:r>
    </w:p>
    <w:bookmarkEnd w:id="14"/>
    <w:bookmarkStart w:id="15" w:name="commandes-principales-local"/>
    <w:p>
      <w:pPr>
        <w:pStyle w:val="Heading3"/>
      </w:pPr>
      <w:r>
        <w:t xml:space="preserve">4.2 Commandes principales (local)</w:t>
      </w:r>
    </w:p>
    <w:p>
      <w:pPr>
        <w:pStyle w:val="Compact"/>
        <w:numPr>
          <w:ilvl w:val="0"/>
          <w:numId w:val="1004"/>
        </w:numPr>
      </w:pPr>
      <w:r>
        <w:t xml:space="preserve">Génération SBOM répertoire :</w:t>
      </w:r>
      <w:r>
        <w:br/>
      </w:r>
      <w:r>
        <w:rPr>
          <w:rStyle w:val="VerbatimChar"/>
        </w:rPr>
        <w:t xml:space="preserve">syft app-exemple -o cyclonedx-json=rapports/sbom-cyclonedx.json</w:t>
      </w:r>
    </w:p>
    <w:p>
      <w:pPr>
        <w:pStyle w:val="Compact"/>
        <w:numPr>
          <w:ilvl w:val="0"/>
          <w:numId w:val="1004"/>
        </w:numPr>
      </w:pPr>
      <w:r>
        <w:t xml:space="preserve">Scan des vulnérabilités :</w:t>
      </w:r>
      <w:r>
        <w:br/>
      </w:r>
      <w:r>
        <w:rPr>
          <w:rStyle w:val="VerbatimChar"/>
        </w:rPr>
        <w:t xml:space="preserve">grype sbom:rapports/sbom-cyclonedx.json -o table</w:t>
      </w:r>
      <w:r>
        <w:br/>
      </w:r>
      <w:r>
        <w:rPr>
          <w:rStyle w:val="VerbatimChar"/>
        </w:rPr>
        <w:t xml:space="preserve">grype sbom:rapports/sbom-cyclonedx.json -o json --file rapports/vulns.json</w:t>
      </w:r>
    </w:p>
    <w:p>
      <w:pPr>
        <w:pStyle w:val="Compact"/>
        <w:numPr>
          <w:ilvl w:val="0"/>
          <w:numId w:val="1004"/>
        </w:numPr>
      </w:pPr>
      <w:r>
        <w:t xml:space="preserve">Pipeline tout-en-un (script fourni) :</w:t>
      </w:r>
      <w:r>
        <w:br/>
      </w:r>
      <w:r>
        <w:rPr>
          <w:rStyle w:val="VerbatimChar"/>
        </w:rPr>
        <w:t xml:space="preserve">.\syft-grype-pipeline.ps1</w:t>
      </w:r>
      <w:r>
        <w:br/>
      </w:r>
      <w:r>
        <w:rPr>
          <w:rStyle w:val="VerbatimChar"/>
        </w:rPr>
        <w:t xml:space="preserve">.\generer-rapport-vulns-html.ps1</w:t>
      </w:r>
    </w:p>
    <w:bookmarkEnd w:id="15"/>
    <w:bookmarkStart w:id="16" w:name="configuration-syft"/>
    <w:p>
      <w:pPr>
        <w:pStyle w:val="Heading3"/>
      </w:pPr>
      <w:r>
        <w:t xml:space="preserve">4.3 Configuration Syft</w:t>
      </w:r>
    </w:p>
    <w:p>
      <w:pPr>
        <w:pStyle w:val="FirstParagraph"/>
      </w:pPr>
      <w:r>
        <w:t xml:space="preserve">Le fichier</w:t>
      </w:r>
      <w:r>
        <w:t xml:space="preserve"> </w:t>
      </w:r>
      <w:r>
        <w:rPr>
          <w:rStyle w:val="VerbatimChar"/>
        </w:rPr>
        <w:t xml:space="preserve">.syft.yaml</w:t>
      </w:r>
      <w:r>
        <w:t xml:space="preserve"> </w:t>
      </w:r>
      <w:r>
        <w:t xml:space="preserve">à la racine du projet permet d’exclure des chemins (</w:t>
      </w:r>
      <w:r>
        <w:rPr>
          <w:rStyle w:val="VerbatimChar"/>
        </w:rPr>
        <w:t xml:space="preserve">.git</w:t>
      </w:r>
      <w:r>
        <w:t xml:space="preserve">,</w:t>
      </w:r>
      <w:r>
        <w:t xml:space="preserve"> </w:t>
      </w:r>
      <w:r>
        <w:rPr>
          <w:rStyle w:val="VerbatimChar"/>
        </w:rPr>
        <w:t xml:space="preserve">dist</w:t>
      </w:r>
      <w:r>
        <w:t xml:space="preserve">,</w:t>
      </w:r>
      <w:r>
        <w:t xml:space="preserve"> </w:t>
      </w:r>
      <w:r>
        <w:rPr>
          <w:rStyle w:val="VerbatimChar"/>
        </w:rPr>
        <w:t xml:space="preserve">build</w:t>
      </w:r>
      <w:r>
        <w:t xml:space="preserve">, etc.) et de contrôler le scope des scans (ex.</w:t>
      </w:r>
      <w:r>
        <w:t xml:space="preserve"> </w:t>
      </w:r>
      <w:r>
        <w:rPr>
          <w:rStyle w:val="VerbatimChar"/>
        </w:rPr>
        <w:t xml:space="preserve">squashed</w:t>
      </w:r>
      <w:r>
        <w:t xml:space="preserve"> </w:t>
      </w:r>
      <w:r>
        <w:t xml:space="preserve">pour les images), afin d’obtenir des SBOM plus pertinents et plus rapides.</w:t>
      </w:r>
    </w:p>
    <w:p>
      <w:r>
        <w:pict>
          <v:rect style="width:0;height:1.5pt" o:hralign="center" o:hrstd="t" o:hr="t"/>
        </w:pict>
      </w:r>
    </w:p>
    <w:bookmarkEnd w:id="16"/>
    <w:bookmarkEnd w:id="17"/>
    <w:bookmarkStart w:id="21" w:name="résultats-sbom-et-vulnérabilités"/>
    <w:p>
      <w:pPr>
        <w:pStyle w:val="Heading2"/>
      </w:pPr>
      <w:r>
        <w:t xml:space="preserve">5. Résultats : SBOM et vulnérabilités</w:t>
      </w:r>
    </w:p>
    <w:bookmarkStart w:id="18" w:name="inventaire-sbom"/>
    <w:p>
      <w:pPr>
        <w:pStyle w:val="Heading3"/>
      </w:pPr>
      <w:r>
        <w:t xml:space="preserve">5.1 Inventaire (SBOM)</w:t>
      </w:r>
    </w:p>
    <w:p>
      <w:pPr>
        <w:pStyle w:val="Compact"/>
        <w:numPr>
          <w:ilvl w:val="0"/>
          <w:numId w:val="1005"/>
        </w:numPr>
      </w:pPr>
      <w:r>
        <w:rPr>
          <w:b/>
          <w:bCs/>
        </w:rPr>
        <w:t xml:space="preserve">Répertoire</w:t>
      </w:r>
      <w:r>
        <w:rPr>
          <w:b/>
          <w:bCs/>
        </w:rPr>
        <w:t xml:space="preserve"> </w:t>
      </w:r>
      <w:r>
        <w:rPr>
          <w:rStyle w:val="VerbatimChar"/>
          <w:b/>
          <w:bCs/>
        </w:rPr>
        <w:t xml:space="preserve">app-exemple</w:t>
      </w:r>
      <w:r>
        <w:rPr>
          <w:b/>
          <w:bCs/>
        </w:rPr>
        <w:t xml:space="preserve"> </w:t>
      </w:r>
      <w:r>
        <w:rPr>
          <w:b/>
          <w:bCs/>
        </w:rPr>
        <w:t xml:space="preserve">:</w:t>
      </w:r>
      <w:r>
        <w:t xml:space="preserve"> </w:t>
      </w:r>
      <w:r>
        <w:t xml:space="preserve">plusieurs dizaines de paquets npm (dépendances directes et transitives), listés dans</w:t>
      </w:r>
      <w:r>
        <w:t xml:space="preserve"> </w:t>
      </w:r>
      <w:r>
        <w:rPr>
          <w:rStyle w:val="VerbatimChar"/>
        </w:rPr>
        <w:t xml:space="preserve">rapports/sbom-cyclonedx.json</w:t>
      </w:r>
      <w:r>
        <w:t xml:space="preserve"> </w:t>
      </w:r>
      <w:r>
        <w:t xml:space="preserve">et</w:t>
      </w:r>
      <w:r>
        <w:t xml:space="preserve"> </w:t>
      </w:r>
      <w:r>
        <w:rPr>
          <w:rStyle w:val="VerbatimChar"/>
        </w:rPr>
        <w:t xml:space="preserve">rapports/sbom-spdx.json</w:t>
      </w:r>
      <w:r>
        <w:t xml:space="preserve">.</w:t>
      </w:r>
    </w:p>
    <w:p>
      <w:pPr>
        <w:pStyle w:val="Compact"/>
        <w:numPr>
          <w:ilvl w:val="0"/>
          <w:numId w:val="1005"/>
        </w:numPr>
      </w:pPr>
      <w:r>
        <w:rPr>
          <w:b/>
          <w:bCs/>
        </w:rPr>
        <w:t xml:space="preserve">Image Docker</w:t>
      </w:r>
      <w:r>
        <w:rPr>
          <w:b/>
          <w:bCs/>
        </w:rPr>
        <w:t xml:space="preserve"> </w:t>
      </w:r>
      <w:r>
        <w:rPr>
          <w:rStyle w:val="VerbatimChar"/>
          <w:b/>
          <w:bCs/>
        </w:rPr>
        <w:t xml:space="preserve">app-exemple-sbom:1.0</w:t>
      </w:r>
      <w:r>
        <w:rPr>
          <w:b/>
          <w:bCs/>
        </w:rPr>
        <w:t xml:space="preserve"> </w:t>
      </w:r>
      <w:r>
        <w:rPr>
          <w:b/>
          <w:bCs/>
        </w:rPr>
        <w:t xml:space="preserve">:</w:t>
      </w:r>
      <w:r>
        <w:t xml:space="preserve"> </w:t>
      </w:r>
      <w:r>
        <w:t xml:space="preserve">paquets de la couche Alpine (apk), runtime Node.js et dépendances npm installées dans l’image.</w:t>
      </w:r>
    </w:p>
    <w:p>
      <w:pPr>
        <w:pStyle w:val="FirstParagraph"/>
      </w:pPr>
      <w:r>
        <w:t xml:space="preserve">Les formats CycloneDX et SPDX permettent une réutilisation dans d’autres outils (Dependency-Track, conformité, attestations).</w:t>
      </w:r>
    </w:p>
    <w:bookmarkEnd w:id="18"/>
    <w:bookmarkStart w:id="19" w:name="vulnérabilités-détectées-exemple"/>
    <w:p>
      <w:pPr>
        <w:pStyle w:val="Heading3"/>
      </w:pPr>
      <w:r>
        <w:t xml:space="preserve">5.2 Vulnérabilités détectées (exemple)</w:t>
      </w:r>
    </w:p>
    <w:p>
      <w:pPr>
        <w:pStyle w:val="FirstParagraph"/>
      </w:pPr>
      <w:r>
        <w:t xml:space="preserve">Sur la cible</w:t>
      </w:r>
      <w:r>
        <w:t xml:space="preserve"> </w:t>
      </w:r>
      <w:r>
        <w:rPr>
          <w:rStyle w:val="VerbatimChar"/>
        </w:rPr>
        <w:t xml:space="preserve">app-exemple</w:t>
      </w:r>
      <w:r>
        <w:t xml:space="preserve"> </w:t>
      </w:r>
      <w:r>
        <w:t xml:space="preserve">avec lodash 4.17.20 (version volontairement vulnérable pour la démo), Grype signale notamment :</w:t>
      </w:r>
    </w:p>
    <w:tbl>
      <w:tblPr>
        <w:tblStyle w:val="Table"/>
        <w:tblW w:type="pct" w:w="5000"/>
        <w:tblLayout w:type="fixed"/>
        <w:tblLook w:firstRow="1" w:lastRow="0" w:firstColumn="0" w:lastColumn="0" w:noHBand="0" w:noVBand="0" w:val="0020"/>
      </w:tblPr>
      <w:tblGrid>
        <w:gridCol w:w="1038"/>
        <w:gridCol w:w="1168"/>
        <w:gridCol w:w="1947"/>
        <w:gridCol w:w="1298"/>
        <w:gridCol w:w="2466"/>
      </w:tblGrid>
      <w:tr>
        <w:trPr>
          <w:tblHeader w:val="on"/>
        </w:trPr>
        <w:tc>
          <w:tcPr/>
          <w:p>
            <w:pPr>
              <w:pStyle w:val="Compact"/>
            </w:pPr>
            <w:r>
              <w:t xml:space="preserve">Paquet</w:t>
            </w:r>
          </w:p>
        </w:tc>
        <w:tc>
          <w:tcPr/>
          <w:p>
            <w:pPr>
              <w:pStyle w:val="Compact"/>
            </w:pPr>
            <w:r>
              <w:t xml:space="preserve">Version</w:t>
            </w:r>
          </w:p>
        </w:tc>
        <w:tc>
          <w:tcPr/>
          <w:p>
            <w:pPr>
              <w:pStyle w:val="Compact"/>
            </w:pPr>
            <w:r>
              <w:t xml:space="preserve">Vulnérabilité</w:t>
            </w:r>
          </w:p>
        </w:tc>
        <w:tc>
          <w:tcPr/>
          <w:p>
            <w:pPr>
              <w:pStyle w:val="Compact"/>
            </w:pPr>
            <w:r>
              <w:t xml:space="preserve">Sévérité</w:t>
            </w:r>
          </w:p>
        </w:tc>
        <w:tc>
          <w:tcPr/>
          <w:p>
            <w:pPr>
              <w:pStyle w:val="Compact"/>
            </w:pPr>
            <w:r>
              <w:t xml:space="preserve">Description type</w:t>
            </w:r>
          </w:p>
        </w:tc>
      </w:tr>
      <w:tr>
        <w:tc>
          <w:tcPr/>
          <w:p>
            <w:pPr>
              <w:pStyle w:val="Compact"/>
            </w:pPr>
            <w:r>
              <w:t xml:space="preserve">lodash</w:t>
            </w:r>
          </w:p>
        </w:tc>
        <w:tc>
          <w:tcPr/>
          <w:p>
            <w:pPr>
              <w:pStyle w:val="Compact"/>
            </w:pPr>
            <w:r>
              <w:t xml:space="preserve">4.17.20</w:t>
            </w:r>
          </w:p>
        </w:tc>
        <w:tc>
          <w:tcPr/>
          <w:p>
            <w:pPr>
              <w:pStyle w:val="Compact"/>
            </w:pPr>
            <w:r>
              <w:t xml:space="preserve">GHSA-35jh-r3h4-6jhm</w:t>
            </w:r>
          </w:p>
        </w:tc>
        <w:tc>
          <w:tcPr/>
          <w:p>
            <w:pPr>
              <w:pStyle w:val="Compact"/>
            </w:pPr>
            <w:r>
              <w:t xml:space="preserve">High</w:t>
            </w:r>
          </w:p>
        </w:tc>
        <w:tc>
          <w:tcPr/>
          <w:p>
            <w:pPr>
              <w:pStyle w:val="Compact"/>
            </w:pPr>
            <w:r>
              <w:t xml:space="preserve">Command Injection</w:t>
            </w:r>
          </w:p>
        </w:tc>
      </w:tr>
      <w:tr>
        <w:tc>
          <w:tcPr/>
          <w:p>
            <w:pPr>
              <w:pStyle w:val="Compact"/>
            </w:pPr>
            <w:r>
              <w:t xml:space="preserve">lodash</w:t>
            </w:r>
          </w:p>
        </w:tc>
        <w:tc>
          <w:tcPr/>
          <w:p>
            <w:pPr>
              <w:pStyle w:val="Compact"/>
            </w:pPr>
            <w:r>
              <w:t xml:space="preserve">4.17.20</w:t>
            </w:r>
          </w:p>
        </w:tc>
        <w:tc>
          <w:tcPr/>
          <w:p>
            <w:pPr>
              <w:pStyle w:val="Compact"/>
            </w:pPr>
            <w:r>
              <w:t xml:space="preserve">GHSA-29mw-wpgm-hmr9</w:t>
            </w:r>
          </w:p>
        </w:tc>
        <w:tc>
          <w:tcPr/>
          <w:p>
            <w:pPr>
              <w:pStyle w:val="Compact"/>
            </w:pPr>
            <w:r>
              <w:t xml:space="preserve">Medium</w:t>
            </w:r>
          </w:p>
        </w:tc>
        <w:tc>
          <w:tcPr/>
          <w:p>
            <w:pPr>
              <w:pStyle w:val="Compact"/>
            </w:pPr>
            <w:r>
              <w:t xml:space="preserve">ReDoS (Regular Expression DoS)</w:t>
            </w:r>
          </w:p>
        </w:tc>
      </w:tr>
      <w:tr>
        <w:tc>
          <w:tcPr/>
          <w:p>
            <w:pPr>
              <w:pStyle w:val="Compact"/>
            </w:pPr>
            <w:r>
              <w:t xml:space="preserve">lodash</w:t>
            </w:r>
          </w:p>
        </w:tc>
        <w:tc>
          <w:tcPr/>
          <w:p>
            <w:pPr>
              <w:pStyle w:val="Compact"/>
            </w:pPr>
            <w:r>
              <w:t xml:space="preserve">4.17.20</w:t>
            </w:r>
          </w:p>
        </w:tc>
        <w:tc>
          <w:tcPr/>
          <w:p>
            <w:pPr>
              <w:pStyle w:val="Compact"/>
            </w:pPr>
            <w:r>
              <w:t xml:space="preserve">GHSA-xxjr-mmjv-4gpg</w:t>
            </w:r>
          </w:p>
        </w:tc>
        <w:tc>
          <w:tcPr/>
          <w:p>
            <w:pPr>
              <w:pStyle w:val="Compact"/>
            </w:pPr>
            <w:r>
              <w:t xml:space="preserve">Medium</w:t>
            </w:r>
          </w:p>
        </w:tc>
        <w:tc>
          <w:tcPr/>
          <w:p>
            <w:pPr>
              <w:pStyle w:val="Compact"/>
            </w:pPr>
            <w:r>
              <w:t xml:space="preserve">Prototype Pollution (</w:t>
            </w:r>
            <w:r>
              <w:rPr>
                <w:rStyle w:val="VerbatimChar"/>
              </w:rPr>
              <w:t xml:space="preserve">_.unset</w:t>
            </w:r>
            <w:r>
              <w:t xml:space="preserve">,</w:t>
            </w:r>
            <w:r>
              <w:t xml:space="preserve"> </w:t>
            </w:r>
            <w:r>
              <w:rPr>
                <w:rStyle w:val="VerbatimChar"/>
              </w:rPr>
              <w:t xml:space="preserve">_.omit</w:t>
            </w:r>
            <w:r>
              <w:t xml:space="preserve">)</w:t>
            </w:r>
          </w:p>
        </w:tc>
      </w:tr>
    </w:tbl>
    <w:p>
      <w:pPr>
        <w:pStyle w:val="BodyText"/>
      </w:pPr>
      <w:r>
        <w:t xml:space="preserve">Les identifiants GHSA sont cliquables dans le rapport HTML et renvoient vers les avis GitHub (ex. CVE-2021-23337, version corrigée : lodash 4.17.21).</w:t>
      </w:r>
    </w:p>
    <w:bookmarkEnd w:id="19"/>
    <w:bookmarkStart w:id="20" w:name="source-des-données-grype"/>
    <w:p>
      <w:pPr>
        <w:pStyle w:val="Heading3"/>
      </w:pPr>
      <w:r>
        <w:t xml:space="preserve">5.3 Source des données Grype</w:t>
      </w:r>
    </w:p>
    <w:p>
      <w:pPr>
        <w:pStyle w:val="FirstParagraph"/>
      </w:pPr>
      <w:r>
        <w:t xml:space="preserve">Grype s’appuie sur une base de vulnérabilités (téléchargée et mise en cache localement) alimentée par NVD, GitHub Advisory Database, Alpine SecDB, etc. La commande</w:t>
      </w:r>
      <w:r>
        <w:t xml:space="preserve"> </w:t>
      </w:r>
      <w:r>
        <w:rPr>
          <w:rStyle w:val="VerbatimChar"/>
        </w:rPr>
        <w:t xml:space="preserve">grype db status</w:t>
      </w:r>
      <w:r>
        <w:t xml:space="preserve"> </w:t>
      </w:r>
      <w:r>
        <w:t xml:space="preserve">affiche la base utilisée ;</w:t>
      </w:r>
      <w:r>
        <w:t xml:space="preserve"> </w:t>
      </w:r>
      <w:r>
        <w:rPr>
          <w:rStyle w:val="VerbatimChar"/>
        </w:rPr>
        <w:t xml:space="preserve">grype db update</w:t>
      </w:r>
      <w:r>
        <w:t xml:space="preserve"> </w:t>
      </w:r>
      <w:r>
        <w:t xml:space="preserve">met à jour cette base.</w:t>
      </w:r>
    </w:p>
    <w:p>
      <w:r>
        <w:pict>
          <v:rect style="width:0;height:1.5pt" o:hralign="center" o:hrstd="t" o:hr="t"/>
        </w:pict>
      </w:r>
    </w:p>
    <w:bookmarkEnd w:id="20"/>
    <w:bookmarkEnd w:id="21"/>
    <w:bookmarkStart w:id="22" w:name="cicd-github-actions"/>
    <w:p>
      <w:pPr>
        <w:pStyle w:val="Heading2"/>
      </w:pPr>
      <w:r>
        <w:t xml:space="preserve">6. CI/CD (GitHub Actions)</w:t>
      </w:r>
    </w:p>
    <w:p>
      <w:pPr>
        <w:pStyle w:val="Compact"/>
        <w:numPr>
          <w:ilvl w:val="0"/>
          <w:numId w:val="1006"/>
        </w:numPr>
      </w:pPr>
      <w:r>
        <w:rPr>
          <w:b/>
          <w:bCs/>
        </w:rPr>
        <w:t xml:space="preserve">Workflow :</w:t>
      </w:r>
      <w:r>
        <w:t xml:space="preserve"> </w:t>
      </w:r>
      <w:r>
        <w:rPr>
          <w:rStyle w:val="VerbatimChar"/>
        </w:rPr>
        <w:t xml:space="preserve">.github/workflows/sbom-grype.yml</w:t>
      </w:r>
    </w:p>
    <w:p>
      <w:pPr>
        <w:pStyle w:val="Compact"/>
        <w:numPr>
          <w:ilvl w:val="0"/>
          <w:numId w:val="1006"/>
        </w:numPr>
      </w:pPr>
      <w:r>
        <w:rPr>
          <w:b/>
          <w:bCs/>
        </w:rPr>
        <w:t xml:space="preserve">Déclenchement :</w:t>
      </w:r>
      <w:r>
        <w:t xml:space="preserve"> </w:t>
      </w:r>
      <w:r>
        <w:t xml:space="preserve">push et pull_request sur la branche</w:t>
      </w:r>
      <w:r>
        <w:t xml:space="preserve"> </w:t>
      </w:r>
      <w:r>
        <w:rPr>
          <w:rStyle w:val="VerbatimChar"/>
        </w:rPr>
        <w:t xml:space="preserve">main</w:t>
      </w:r>
    </w:p>
    <w:p>
      <w:pPr>
        <w:pStyle w:val="Compact"/>
        <w:numPr>
          <w:ilvl w:val="0"/>
          <w:numId w:val="1006"/>
        </w:numPr>
      </w:pPr>
      <w:r>
        <w:rPr>
          <w:b/>
          <w:bCs/>
        </w:rPr>
        <w:t xml:space="preserve">Étapes :</w:t>
      </w:r>
      <w:r>
        <w:t xml:space="preserve"> </w:t>
      </w:r>
      <w:r>
        <w:t xml:space="preserve">installation de Syft et Grype, génération du SBOM du répertoire</w:t>
      </w:r>
      <w:r>
        <w:t xml:space="preserve"> </w:t>
      </w:r>
      <w:r>
        <w:rPr>
          <w:rStyle w:val="VerbatimChar"/>
        </w:rPr>
        <w:t xml:space="preserve">app-exemple</w:t>
      </w:r>
      <w:r>
        <w:t xml:space="preserve">, exécution de Grype (table + JSON), génération du rapport HTML, upload des artefacts (SBOM CycloneDX, rapport vulns, rapport HTML).</w:t>
      </w:r>
    </w:p>
    <w:p>
      <w:pPr>
        <w:pStyle w:val="Compact"/>
        <w:numPr>
          <w:ilvl w:val="0"/>
          <w:numId w:val="1006"/>
        </w:numPr>
      </w:pPr>
      <w:r>
        <w:rPr>
          <w:b/>
          <w:bCs/>
        </w:rPr>
        <w:t xml:space="preserve">Option :</w:t>
      </w:r>
      <w:r>
        <w:t xml:space="preserve"> </w:t>
      </w:r>
      <w:r>
        <w:t xml:space="preserve">une step commentée permet de faire échouer le job en cas de vulnérabilité de sévérité « critical » (</w:t>
      </w:r>
      <w:r>
        <w:rPr>
          <w:rStyle w:val="VerbatimChar"/>
        </w:rPr>
        <w:t xml:space="preserve">--fail-on critical</w:t>
      </w:r>
      <w:r>
        <w:t xml:space="preserve">).</w:t>
      </w:r>
    </w:p>
    <w:p>
      <w:r>
        <w:pict>
          <v:rect style="width:0;height:1.5pt" o:hralign="center" o:hrstd="t" o:hr="t"/>
        </w:pict>
      </w:r>
    </w:p>
    <w:bookmarkEnd w:id="22"/>
    <w:bookmarkStart w:id="23" w:name="aller-plus-loin-références-du-projet"/>
    <w:p>
      <w:pPr>
        <w:pStyle w:val="Heading2"/>
      </w:pPr>
      <w:r>
        <w:t xml:space="preserve">7. Aller plus loin (références du projet)</w:t>
      </w:r>
    </w:p>
    <w:p>
      <w:pPr>
        <w:pStyle w:val="Compact"/>
        <w:numPr>
          <w:ilvl w:val="0"/>
          <w:numId w:val="1007"/>
        </w:numPr>
      </w:pPr>
      <w:r>
        <w:rPr>
          <w:b/>
          <w:bCs/>
        </w:rPr>
        <w:t xml:space="preserve">Dependency-Track :</w:t>
      </w:r>
      <w:r>
        <w:t xml:space="preserve"> </w:t>
      </w:r>
      <w:r>
        <w:t xml:space="preserve">import du SBOM CycloneDX pour tableau de bord et politiques (voir</w:t>
      </w:r>
      <w:r>
        <w:t xml:space="preserve"> </w:t>
      </w:r>
      <w:r>
        <w:rPr>
          <w:rStyle w:val="VerbatimChar"/>
        </w:rPr>
        <w:t xml:space="preserve">docs/SYFT_CAS_COMPLET.md</w:t>
      </w:r>
      <w:r>
        <w:t xml:space="preserve">).</w:t>
      </w:r>
    </w:p>
    <w:p>
      <w:pPr>
        <w:pStyle w:val="Compact"/>
        <w:numPr>
          <w:ilvl w:val="0"/>
          <w:numId w:val="1007"/>
        </w:numPr>
      </w:pPr>
      <w:r>
        <w:rPr>
          <w:b/>
          <w:bCs/>
        </w:rPr>
        <w:t xml:space="preserve">Attestations :</w:t>
      </w:r>
      <w:r>
        <w:t xml:space="preserve"> </w:t>
      </w:r>
      <w:r>
        <w:t xml:space="preserve">signature du SBOM avec Syft + Cosign pour la chaîne de confiance.</w:t>
      </w:r>
    </w:p>
    <w:p>
      <w:pPr>
        <w:pStyle w:val="Compact"/>
        <w:numPr>
          <w:ilvl w:val="0"/>
          <w:numId w:val="1007"/>
        </w:numPr>
      </w:pPr>
      <w:r>
        <w:rPr>
          <w:b/>
          <w:bCs/>
        </w:rPr>
        <w:t xml:space="preserve">Comparaison de SBOM :</w:t>
      </w:r>
      <w:r>
        <w:t xml:space="preserve"> </w:t>
      </w:r>
      <w:r>
        <w:t xml:space="preserve">script</w:t>
      </w:r>
      <w:r>
        <w:t xml:space="preserve"> </w:t>
      </w:r>
      <w:r>
        <w:rPr>
          <w:rStyle w:val="VerbatimChar"/>
        </w:rPr>
        <w:t xml:space="preserve">comparer-sbom.ps1</w:t>
      </w:r>
      <w:r>
        <w:t xml:space="preserve"> </w:t>
      </w:r>
      <w:r>
        <w:t xml:space="preserve">pour comparer un SBOM de référence et un SBOM actuel (ajouts, suppressions, changements de version).</w:t>
      </w:r>
    </w:p>
    <w:p>
      <w:pPr>
        <w:pStyle w:val="Compact"/>
        <w:numPr>
          <w:ilvl w:val="0"/>
          <w:numId w:val="1007"/>
        </w:numPr>
      </w:pPr>
      <w:r>
        <w:rPr>
          <w:b/>
          <w:bCs/>
        </w:rPr>
        <w:t xml:space="preserve">Conformité :</w:t>
      </w:r>
      <w:r>
        <w:t xml:space="preserve"> </w:t>
      </w:r>
      <w:r>
        <w:t xml:space="preserve">le SBOM et les rapports Grype servent de preuve d’inventaire et de gestion des vulnérabilités (NIS2, ANSSI).</w:t>
      </w:r>
    </w:p>
    <w:p>
      <w:r>
        <w:pict>
          <v:rect style="width:0;height:1.5pt" o:hralign="center" o:hrstd="t" o:hr="t"/>
        </w:pict>
      </w:r>
    </w:p>
    <w:bookmarkEnd w:id="23"/>
    <w:bookmarkStart w:id="24" w:name="conclusion"/>
    <w:p>
      <w:pPr>
        <w:pStyle w:val="Heading2"/>
      </w:pPr>
      <w:r>
        <w:t xml:space="preserve">8. Conclusion</w:t>
      </w:r>
    </w:p>
    <w:p>
      <w:pPr>
        <w:pStyle w:val="FirstParagraph"/>
      </w:pPr>
      <w:r>
        <w:t xml:space="preserve">Ce projet démontre une chaîne complète :</w:t>
      </w:r>
      <w:r>
        <w:t xml:space="preserve"> </w:t>
      </w:r>
      <w:r>
        <w:rPr>
          <w:b/>
          <w:bCs/>
        </w:rPr>
        <w:t xml:space="preserve">SBOM (Syft) → scan des vulnérabilités (Grype) → rapports (JSON, HTML) → CI/CD (GitHub Actions)</w:t>
      </w:r>
      <w:r>
        <w:t xml:space="preserve">. Il fournit une base reproductible pour la traçabilité des dépendances et la détection des CVE, utilisable en local comme en intégration continue, et exploitable pour des présentations ou des démonstrations de conformité.</w:t>
      </w:r>
    </w:p>
    <w:p>
      <w:r>
        <w:pict>
          <v:rect style="width:0;height:1.5pt" o:hralign="center" o:hrstd="t" o:hr="t"/>
        </w:pict>
      </w:r>
    </w:p>
    <w:p>
      <w:pPr>
        <w:pStyle w:val="FirstParagraph"/>
      </w:pPr>
      <w:r>
        <w:rPr>
          <w:i/>
          <w:iCs/>
        </w:rPr>
        <w:t xml:space="preserve">Rapport généré dans le cadre du projet Syft/Grype – Security M2.</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2026-03-09T14:04:50Z</dcterms:created>
  <dcterms:modified xsi:type="dcterms:W3CDTF">2026-03-09T14:04:50Z</dcterms:modified>
</cp:coreProperties>
</file>

<file path=docProps/custom.xml><?xml version="1.0" encoding="utf-8"?>
<Properties xmlns="http://schemas.openxmlformats.org/officeDocument/2006/custom-properties" xmlns:vt="http://schemas.openxmlformats.org/officeDocument/2006/docPropsVTypes"/>
</file>