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0E9F9" w14:textId="6A50D53E" w:rsidR="00555770" w:rsidRPr="00917992" w:rsidRDefault="00555770" w:rsidP="00555770">
      <w:pPr>
        <w:rPr>
          <w:rFonts w:ascii="Times New Roman" w:hAnsi="Times New Roman" w:cs="Times New Roman"/>
        </w:rPr>
      </w:pPr>
      <w:r w:rsidRPr="00917992">
        <w:rPr>
          <w:rFonts w:ascii="Times New Roman" w:hAnsi="Times New Roman" w:cs="Times New Roman"/>
          <w:b/>
          <w:bCs/>
          <w:sz w:val="36"/>
          <w:szCs w:val="36"/>
        </w:rPr>
        <w:t xml:space="preserve">EDA: </w:t>
      </w:r>
      <w:r w:rsidRPr="00AE1769">
        <w:rPr>
          <w:rFonts w:ascii="Times New Roman" w:hAnsi="Times New Roman" w:cs="Times New Roman"/>
          <w:b/>
          <w:bCs/>
          <w:sz w:val="36"/>
          <w:szCs w:val="36"/>
        </w:rPr>
        <w:t>Análise Geográfica</w:t>
      </w:r>
      <w:r w:rsidR="00000000">
        <w:rPr>
          <w:rFonts w:ascii="Times New Roman" w:hAnsi="Times New Roman" w:cs="Times New Roman"/>
        </w:rPr>
        <w:pict w14:anchorId="17660455">
          <v:rect id="_x0000_i1025" style="width:425.2pt;height:1.5pt;mso-position-horizontal:absolute" o:hralign="center" o:hrstd="t" o:hr="t" fillcolor="#a0a0a0" stroked="f"/>
        </w:pict>
      </w:r>
    </w:p>
    <w:p w14:paraId="66DCDF07" w14:textId="77777777" w:rsidR="00555770" w:rsidRPr="00917992" w:rsidRDefault="00555770" w:rsidP="00555770">
      <w:pPr>
        <w:spacing w:after="0"/>
        <w:rPr>
          <w:rFonts w:ascii="Times New Roman" w:hAnsi="Times New Roman" w:cs="Times New Roman"/>
        </w:rPr>
      </w:pPr>
      <w:r w:rsidRPr="00917992">
        <w:rPr>
          <w:rFonts w:ascii="Times New Roman" w:hAnsi="Times New Roman" w:cs="Times New Roman"/>
        </w:rPr>
        <w:t>Análise Exploratória de Dados de Internações de Saúde Mental no Estado de São Paulo </w:t>
      </w:r>
    </w:p>
    <w:p w14:paraId="42650D1F" w14:textId="77777777" w:rsidR="00555770" w:rsidRPr="00917992" w:rsidRDefault="00555770" w:rsidP="00555770">
      <w:pPr>
        <w:spacing w:after="0"/>
        <w:rPr>
          <w:rFonts w:ascii="Times New Roman" w:hAnsi="Times New Roman" w:cs="Times New Roman"/>
        </w:rPr>
      </w:pPr>
      <w:r w:rsidRPr="00917992">
        <w:rPr>
          <w:rFonts w:ascii="Times New Roman" w:hAnsi="Times New Roman" w:cs="Times New Roman"/>
        </w:rPr>
        <w:t>SIH-SUS: 2015-2025</w:t>
      </w:r>
    </w:p>
    <w:p w14:paraId="39B54896" w14:textId="77777777" w:rsidR="00555770" w:rsidRPr="00AE1769" w:rsidRDefault="00555770" w:rsidP="00555770">
      <w:pPr>
        <w:rPr>
          <w:rFonts w:ascii="Times New Roman" w:hAnsi="Times New Roman" w:cs="Times New Roman"/>
        </w:rPr>
      </w:pPr>
      <w:r w:rsidRPr="00917992">
        <w:rPr>
          <w:rFonts w:ascii="Times New Roman" w:hAnsi="Times New Roman" w:cs="Times New Roman"/>
        </w:rPr>
        <w:br/>
      </w:r>
      <w:r w:rsidRPr="00917992">
        <w:rPr>
          <w:rFonts w:ascii="Times New Roman" w:hAnsi="Times New Roman" w:cs="Times New Roman"/>
        </w:rPr>
        <w:br/>
      </w:r>
      <w:r w:rsidRPr="00917992">
        <w:rPr>
          <w:rFonts w:ascii="Times New Roman" w:hAnsi="Times New Roman" w:cs="Times New Roman"/>
        </w:rPr>
        <w:br/>
      </w:r>
      <w:r w:rsidRPr="00917992">
        <w:rPr>
          <w:rFonts w:ascii="Times New Roman" w:hAnsi="Times New Roman" w:cs="Times New Roman"/>
        </w:rPr>
        <w:br/>
      </w:r>
    </w:p>
    <w:p w14:paraId="7AAE72AA" w14:textId="77777777" w:rsidR="00555770" w:rsidRPr="00917992" w:rsidRDefault="00555770" w:rsidP="00555770">
      <w:pPr>
        <w:rPr>
          <w:rFonts w:ascii="Times New Roman" w:hAnsi="Times New Roman" w:cs="Times New Roman"/>
        </w:rPr>
      </w:pPr>
    </w:p>
    <w:p w14:paraId="1171CB3D" w14:textId="77777777" w:rsidR="00555770" w:rsidRPr="00917992" w:rsidRDefault="00555770" w:rsidP="00555770">
      <w:pPr>
        <w:spacing w:after="20" w:line="240" w:lineRule="auto"/>
        <w:ind w:left="4956" w:firstLine="708"/>
        <w:rPr>
          <w:rFonts w:ascii="Times New Roman" w:hAnsi="Times New Roman" w:cs="Times New Roman"/>
        </w:rPr>
      </w:pPr>
      <w:r w:rsidRPr="00917992">
        <w:rPr>
          <w:rFonts w:ascii="Times New Roman" w:hAnsi="Times New Roman" w:cs="Times New Roman"/>
          <w:b/>
          <w:bCs/>
        </w:rPr>
        <w:t>Autor</w:t>
      </w:r>
      <w:r w:rsidRPr="00917992">
        <w:rPr>
          <w:rFonts w:ascii="Times New Roman" w:hAnsi="Times New Roman" w:cs="Times New Roman"/>
        </w:rPr>
        <w:t>: Larissa Yumi Tinem</w:t>
      </w:r>
    </w:p>
    <w:p w14:paraId="558E90CA" w14:textId="46DAC931" w:rsidR="00555770" w:rsidRPr="00917992" w:rsidRDefault="00555770" w:rsidP="00555770">
      <w:pPr>
        <w:spacing w:after="20" w:line="240" w:lineRule="auto"/>
        <w:rPr>
          <w:rFonts w:ascii="Times New Roman" w:hAnsi="Times New Roman" w:cs="Times New Roman"/>
        </w:rPr>
      </w:pPr>
      <w:r w:rsidRPr="00917992">
        <w:rPr>
          <w:rFonts w:ascii="Times New Roman" w:hAnsi="Times New Roman" w:cs="Times New Roman"/>
        </w:rPr>
        <w:tab/>
      </w:r>
      <w:r w:rsidRPr="00917992">
        <w:rPr>
          <w:rFonts w:ascii="Times New Roman" w:hAnsi="Times New Roman" w:cs="Times New Roman"/>
        </w:rPr>
        <w:tab/>
      </w:r>
      <w:r w:rsidRPr="00917992">
        <w:rPr>
          <w:rFonts w:ascii="Times New Roman" w:hAnsi="Times New Roman" w:cs="Times New Roman"/>
        </w:rPr>
        <w:tab/>
      </w:r>
      <w:r w:rsidRPr="00917992">
        <w:rPr>
          <w:rFonts w:ascii="Times New Roman" w:hAnsi="Times New Roman" w:cs="Times New Roman"/>
        </w:rPr>
        <w:tab/>
      </w:r>
      <w:r w:rsidRPr="00917992">
        <w:rPr>
          <w:rFonts w:ascii="Times New Roman" w:hAnsi="Times New Roman" w:cs="Times New Roman"/>
        </w:rPr>
        <w:tab/>
      </w:r>
      <w:r w:rsidRPr="00AE1769">
        <w:rPr>
          <w:rFonts w:ascii="Times New Roman" w:hAnsi="Times New Roman" w:cs="Times New Roman"/>
        </w:rPr>
        <w:tab/>
      </w:r>
      <w:r w:rsidRPr="00AE1769">
        <w:rPr>
          <w:rFonts w:ascii="Times New Roman" w:hAnsi="Times New Roman" w:cs="Times New Roman"/>
        </w:rPr>
        <w:tab/>
      </w:r>
      <w:r w:rsidRPr="00AE1769">
        <w:rPr>
          <w:rFonts w:ascii="Times New Roman" w:hAnsi="Times New Roman" w:cs="Times New Roman"/>
        </w:rPr>
        <w:tab/>
      </w:r>
      <w:r w:rsidRPr="00917992">
        <w:rPr>
          <w:rFonts w:ascii="Times New Roman" w:hAnsi="Times New Roman" w:cs="Times New Roman"/>
          <w:b/>
          <w:bCs/>
        </w:rPr>
        <w:t>Data:</w:t>
      </w:r>
      <w:r w:rsidRPr="00917992">
        <w:rPr>
          <w:rFonts w:ascii="Times New Roman" w:hAnsi="Times New Roman" w:cs="Times New Roman"/>
        </w:rPr>
        <w:t xml:space="preserve"> </w:t>
      </w:r>
      <w:r w:rsidRPr="00AE1769">
        <w:rPr>
          <w:rFonts w:ascii="Times New Roman" w:hAnsi="Times New Roman" w:cs="Times New Roman"/>
        </w:rPr>
        <w:t>12</w:t>
      </w:r>
      <w:r w:rsidRPr="00917992">
        <w:rPr>
          <w:rFonts w:ascii="Times New Roman" w:hAnsi="Times New Roman" w:cs="Times New Roman"/>
        </w:rPr>
        <w:t>.0</w:t>
      </w:r>
      <w:r w:rsidRPr="00AE1769">
        <w:rPr>
          <w:rFonts w:ascii="Times New Roman" w:hAnsi="Times New Roman" w:cs="Times New Roman"/>
        </w:rPr>
        <w:t>3</w:t>
      </w:r>
      <w:r w:rsidRPr="00917992">
        <w:rPr>
          <w:rFonts w:ascii="Times New Roman" w:hAnsi="Times New Roman" w:cs="Times New Roman"/>
        </w:rPr>
        <w:t>.2026</w:t>
      </w:r>
    </w:p>
    <w:p w14:paraId="595586F9" w14:textId="77777777" w:rsidR="00555770" w:rsidRPr="00AE1769" w:rsidRDefault="00555770" w:rsidP="00555770">
      <w:pPr>
        <w:spacing w:after="20" w:line="240" w:lineRule="auto"/>
        <w:rPr>
          <w:rFonts w:ascii="Times New Roman" w:hAnsi="Times New Roman" w:cs="Times New Roman"/>
        </w:rPr>
      </w:pPr>
      <w:r w:rsidRPr="00917992">
        <w:rPr>
          <w:rFonts w:ascii="Times New Roman" w:hAnsi="Times New Roman" w:cs="Times New Roman"/>
        </w:rPr>
        <w:tab/>
      </w:r>
      <w:r w:rsidRPr="00917992">
        <w:rPr>
          <w:rFonts w:ascii="Times New Roman" w:hAnsi="Times New Roman" w:cs="Times New Roman"/>
        </w:rPr>
        <w:tab/>
      </w:r>
      <w:r w:rsidRPr="00917992">
        <w:rPr>
          <w:rFonts w:ascii="Times New Roman" w:hAnsi="Times New Roman" w:cs="Times New Roman"/>
        </w:rPr>
        <w:tab/>
      </w:r>
      <w:r w:rsidRPr="00917992">
        <w:rPr>
          <w:rFonts w:ascii="Times New Roman" w:hAnsi="Times New Roman" w:cs="Times New Roman"/>
        </w:rPr>
        <w:tab/>
      </w:r>
      <w:r w:rsidRPr="00917992">
        <w:rPr>
          <w:rFonts w:ascii="Times New Roman" w:hAnsi="Times New Roman" w:cs="Times New Roman"/>
        </w:rPr>
        <w:tab/>
      </w:r>
      <w:r w:rsidRPr="00AE1769">
        <w:rPr>
          <w:rFonts w:ascii="Times New Roman" w:hAnsi="Times New Roman" w:cs="Times New Roman"/>
        </w:rPr>
        <w:tab/>
      </w:r>
      <w:r w:rsidRPr="00AE1769">
        <w:rPr>
          <w:rFonts w:ascii="Times New Roman" w:hAnsi="Times New Roman" w:cs="Times New Roman"/>
        </w:rPr>
        <w:tab/>
      </w:r>
      <w:r w:rsidRPr="00AE1769">
        <w:rPr>
          <w:rFonts w:ascii="Times New Roman" w:hAnsi="Times New Roman" w:cs="Times New Roman"/>
        </w:rPr>
        <w:tab/>
      </w:r>
      <w:r w:rsidRPr="00917992">
        <w:rPr>
          <w:rFonts w:ascii="Times New Roman" w:hAnsi="Times New Roman" w:cs="Times New Roman"/>
          <w:b/>
          <w:bCs/>
        </w:rPr>
        <w:t>Fonte:</w:t>
      </w:r>
      <w:r w:rsidRPr="00917992">
        <w:rPr>
          <w:rFonts w:ascii="Times New Roman" w:hAnsi="Times New Roman" w:cs="Times New Roman"/>
        </w:rPr>
        <w:t xml:space="preserve"> SIH-SUS</w:t>
      </w:r>
    </w:p>
    <w:p w14:paraId="4127E662" w14:textId="77777777" w:rsidR="00555770" w:rsidRPr="00AE1769" w:rsidRDefault="00555770" w:rsidP="00555770">
      <w:pPr>
        <w:rPr>
          <w:rFonts w:ascii="Times New Roman" w:hAnsi="Times New Roman" w:cs="Times New Roman"/>
        </w:rPr>
      </w:pPr>
    </w:p>
    <w:p w14:paraId="32BE14F8" w14:textId="77777777" w:rsidR="00555770" w:rsidRPr="00917992" w:rsidRDefault="00555770" w:rsidP="00555770">
      <w:pPr>
        <w:rPr>
          <w:rFonts w:ascii="Times New Roman" w:hAnsi="Times New Roman" w:cs="Times New Roman"/>
        </w:rPr>
      </w:pPr>
      <w:r w:rsidRPr="00917992">
        <w:rPr>
          <w:rFonts w:ascii="Times New Roman" w:hAnsi="Times New Roman" w:cs="Times New Roman"/>
        </w:rPr>
        <w:br/>
      </w:r>
      <w:r w:rsidRPr="00917992">
        <w:rPr>
          <w:rFonts w:ascii="Times New Roman" w:hAnsi="Times New Roman" w:cs="Times New Roman"/>
        </w:rPr>
        <w:br/>
      </w:r>
      <w:r w:rsidRPr="00917992">
        <w:rPr>
          <w:rFonts w:ascii="Times New Roman" w:hAnsi="Times New Roman" w:cs="Times New Roman"/>
        </w:rPr>
        <w:br/>
      </w:r>
    </w:p>
    <w:p w14:paraId="41373FFE" w14:textId="77777777" w:rsidR="00555770" w:rsidRPr="00917992" w:rsidRDefault="00555770" w:rsidP="00555770">
      <w:pPr>
        <w:rPr>
          <w:rFonts w:ascii="Times New Roman" w:hAnsi="Times New Roman" w:cs="Times New Roman"/>
        </w:rPr>
      </w:pPr>
      <w:r w:rsidRPr="00917992">
        <w:rPr>
          <w:rFonts w:ascii="Times New Roman" w:hAnsi="Times New Roman" w:cs="Times New Roman"/>
          <w:b/>
          <w:bCs/>
        </w:rPr>
        <w:t>Objetivo</w:t>
      </w:r>
    </w:p>
    <w:p w14:paraId="7F9EBB33" w14:textId="5759B8C4" w:rsidR="00555770" w:rsidRPr="00AE1769" w:rsidRDefault="00555770" w:rsidP="00555770">
      <w:pPr>
        <w:rPr>
          <w:rFonts w:ascii="Times New Roman" w:hAnsi="Times New Roman" w:cs="Times New Roman"/>
        </w:rPr>
      </w:pPr>
      <w:r w:rsidRPr="00AE1769">
        <w:rPr>
          <w:rFonts w:ascii="Times New Roman" w:hAnsi="Times New Roman" w:cs="Times New Roman"/>
        </w:rPr>
        <w:t xml:space="preserve">Analisar a distribuição espacial das internações em saúde mental no estado de São Paulo entre 2015 e 2025, identificando padrões de evasão municipal, deslocamento por DRS (Departamento Regional de Saúde), fluxos origem-destino e concentração geográfica, comparando os períodos </w:t>
      </w:r>
      <w:proofErr w:type="spellStart"/>
      <w:r w:rsidRPr="00AE1769">
        <w:rPr>
          <w:rFonts w:ascii="Times New Roman" w:hAnsi="Times New Roman" w:cs="Times New Roman"/>
        </w:rPr>
        <w:t>Pré</w:t>
      </w:r>
      <w:proofErr w:type="spellEnd"/>
      <w:r w:rsidRPr="00AE1769">
        <w:rPr>
          <w:rFonts w:ascii="Times New Roman" w:hAnsi="Times New Roman" w:cs="Times New Roman"/>
        </w:rPr>
        <w:t>-Pandemia, Pandemia e Pós-Pandemia.</w:t>
      </w:r>
      <w:r w:rsidRPr="00917992">
        <w:rPr>
          <w:rFonts w:ascii="Times New Roman" w:hAnsi="Times New Roman" w:cs="Times New Roman"/>
        </w:rPr>
        <w:br/>
      </w:r>
      <w:r w:rsidRPr="00917992">
        <w:rPr>
          <w:rFonts w:ascii="Times New Roman" w:hAnsi="Times New Roman" w:cs="Times New Roman"/>
        </w:rPr>
        <w:br/>
      </w:r>
      <w:r w:rsidRPr="00917992">
        <w:rPr>
          <w:rFonts w:ascii="Times New Roman" w:hAnsi="Times New Roman" w:cs="Times New Roman"/>
        </w:rPr>
        <w:br/>
      </w:r>
    </w:p>
    <w:p w14:paraId="0780A21F" w14:textId="77777777" w:rsidR="00555770" w:rsidRPr="00AE1769" w:rsidRDefault="00555770" w:rsidP="00555770">
      <w:pPr>
        <w:rPr>
          <w:rFonts w:ascii="Times New Roman" w:hAnsi="Times New Roman" w:cs="Times New Roman"/>
        </w:rPr>
      </w:pPr>
    </w:p>
    <w:p w14:paraId="6CD825D9" w14:textId="77777777" w:rsidR="00555770" w:rsidRPr="00917992" w:rsidRDefault="00555770" w:rsidP="00555770">
      <w:pPr>
        <w:rPr>
          <w:rFonts w:ascii="Times New Roman" w:hAnsi="Times New Roman" w:cs="Times New Roman"/>
        </w:rPr>
      </w:pPr>
      <w:r w:rsidRPr="00917992">
        <w:rPr>
          <w:rFonts w:ascii="Times New Roman" w:hAnsi="Times New Roman" w:cs="Times New Roman"/>
        </w:rPr>
        <w:br/>
      </w:r>
    </w:p>
    <w:p w14:paraId="3B30E494" w14:textId="77777777" w:rsidR="00555770" w:rsidRPr="00917992" w:rsidRDefault="00555770" w:rsidP="00555770">
      <w:pPr>
        <w:rPr>
          <w:rFonts w:ascii="Times New Roman" w:hAnsi="Times New Roman" w:cs="Times New Roman"/>
        </w:rPr>
      </w:pPr>
      <w:r w:rsidRPr="00917992">
        <w:rPr>
          <w:rFonts w:ascii="Times New Roman" w:hAnsi="Times New Roman" w:cs="Times New Roman"/>
          <w:b/>
          <w:bCs/>
        </w:rPr>
        <w:t>Conteúdo</w:t>
      </w:r>
    </w:p>
    <w:p w14:paraId="5DBDC739" w14:textId="5FD3531D" w:rsidR="00555770" w:rsidRPr="003A452C" w:rsidRDefault="00555770" w:rsidP="00555770">
      <w:pPr>
        <w:numPr>
          <w:ilvl w:val="0"/>
          <w:numId w:val="1"/>
        </w:numPr>
        <w:rPr>
          <w:rFonts w:ascii="Times New Roman" w:hAnsi="Times New Roman" w:cs="Times New Roman"/>
        </w:rPr>
      </w:pPr>
      <w:r w:rsidRPr="00AE1769">
        <w:rPr>
          <w:rFonts w:ascii="Times New Roman" w:hAnsi="Times New Roman" w:cs="Times New Roman"/>
        </w:rPr>
        <w:t>Evasão Municipal</w:t>
      </w:r>
    </w:p>
    <w:p w14:paraId="5490BE28" w14:textId="50672D78" w:rsidR="00555770" w:rsidRPr="003A452C" w:rsidRDefault="00555770" w:rsidP="00555770">
      <w:pPr>
        <w:numPr>
          <w:ilvl w:val="0"/>
          <w:numId w:val="1"/>
        </w:numPr>
        <w:rPr>
          <w:rFonts w:ascii="Times New Roman" w:hAnsi="Times New Roman" w:cs="Times New Roman"/>
        </w:rPr>
      </w:pPr>
      <w:r w:rsidRPr="003A452C">
        <w:rPr>
          <w:rFonts w:ascii="Times New Roman" w:hAnsi="Times New Roman" w:cs="Times New Roman"/>
        </w:rPr>
        <w:t xml:space="preserve">Análise </w:t>
      </w:r>
      <w:r w:rsidRPr="00AE1769">
        <w:rPr>
          <w:rFonts w:ascii="Times New Roman" w:hAnsi="Times New Roman" w:cs="Times New Roman"/>
        </w:rPr>
        <w:t>Por DRS</w:t>
      </w:r>
    </w:p>
    <w:p w14:paraId="4FDBE650" w14:textId="46797A6A" w:rsidR="00555770" w:rsidRPr="003A452C" w:rsidRDefault="00555770" w:rsidP="00555770">
      <w:pPr>
        <w:numPr>
          <w:ilvl w:val="0"/>
          <w:numId w:val="1"/>
        </w:numPr>
        <w:rPr>
          <w:rFonts w:ascii="Times New Roman" w:hAnsi="Times New Roman" w:cs="Times New Roman"/>
        </w:rPr>
      </w:pPr>
      <w:r w:rsidRPr="00AE1769">
        <w:rPr>
          <w:rFonts w:ascii="Times New Roman" w:hAnsi="Times New Roman" w:cs="Times New Roman"/>
        </w:rPr>
        <w:t>Fluxo Origem-Destino</w:t>
      </w:r>
    </w:p>
    <w:p w14:paraId="421F667A" w14:textId="654EB87D" w:rsidR="00555770" w:rsidRPr="00AE1769" w:rsidRDefault="00555770" w:rsidP="00555770">
      <w:pPr>
        <w:numPr>
          <w:ilvl w:val="0"/>
          <w:numId w:val="1"/>
        </w:numPr>
        <w:rPr>
          <w:rFonts w:ascii="Times New Roman" w:hAnsi="Times New Roman" w:cs="Times New Roman"/>
        </w:rPr>
      </w:pPr>
      <w:r w:rsidRPr="003A452C">
        <w:rPr>
          <w:rFonts w:ascii="Times New Roman" w:hAnsi="Times New Roman" w:cs="Times New Roman"/>
        </w:rPr>
        <w:t xml:space="preserve">Análise </w:t>
      </w:r>
      <w:r w:rsidRPr="00AE1769">
        <w:rPr>
          <w:rFonts w:ascii="Times New Roman" w:hAnsi="Times New Roman" w:cs="Times New Roman"/>
        </w:rPr>
        <w:t>Espacial (Mapas)</w:t>
      </w:r>
    </w:p>
    <w:p w14:paraId="1BD4828E" w14:textId="0495529D" w:rsidR="00555770" w:rsidRPr="003A452C" w:rsidRDefault="00555770" w:rsidP="00555770">
      <w:pPr>
        <w:numPr>
          <w:ilvl w:val="0"/>
          <w:numId w:val="1"/>
        </w:numPr>
        <w:rPr>
          <w:rFonts w:ascii="Times New Roman" w:hAnsi="Times New Roman" w:cs="Times New Roman"/>
        </w:rPr>
      </w:pPr>
      <w:r w:rsidRPr="00AE1769">
        <w:rPr>
          <w:rFonts w:ascii="Times New Roman" w:hAnsi="Times New Roman" w:cs="Times New Roman"/>
        </w:rPr>
        <w:t>Síntese</w:t>
      </w:r>
    </w:p>
    <w:p w14:paraId="277ED33F" w14:textId="77777777" w:rsidR="00253206" w:rsidRPr="00AE1769" w:rsidRDefault="00253206">
      <w:pPr>
        <w:rPr>
          <w:rFonts w:ascii="Times New Roman" w:hAnsi="Times New Roman" w:cs="Times New Roman"/>
        </w:rPr>
      </w:pPr>
    </w:p>
    <w:p w14:paraId="5E1716F7" w14:textId="47C51433" w:rsidR="00555770" w:rsidRPr="00AE1769" w:rsidRDefault="00555770">
      <w:pPr>
        <w:rPr>
          <w:rFonts w:ascii="Times New Roman" w:hAnsi="Times New Roman" w:cs="Times New Roman"/>
          <w:b/>
          <w:bCs/>
        </w:rPr>
      </w:pPr>
      <w:r w:rsidRPr="00AE1769">
        <w:rPr>
          <w:rFonts w:ascii="Times New Roman" w:hAnsi="Times New Roman" w:cs="Times New Roman"/>
          <w:b/>
          <w:bCs/>
        </w:rPr>
        <w:lastRenderedPageBreak/>
        <w:t>1. Evasão Municipal</w:t>
      </w:r>
    </w:p>
    <w:p w14:paraId="7652BF72" w14:textId="248E4F30" w:rsidR="00BC5696" w:rsidRPr="00AE1769" w:rsidRDefault="00BC5696">
      <w:pPr>
        <w:rPr>
          <w:rFonts w:ascii="Times New Roman" w:hAnsi="Times New Roman" w:cs="Times New Roman"/>
          <w:b/>
          <w:bCs/>
        </w:rPr>
      </w:pPr>
      <w:r w:rsidRPr="00AE1769">
        <w:rPr>
          <w:rFonts w:ascii="Times New Roman" w:hAnsi="Times New Roman" w:cs="Times New Roman"/>
          <w:b/>
          <w:bCs/>
        </w:rPr>
        <w:t xml:space="preserve">a. Taxa Geral </w:t>
      </w:r>
      <w:r w:rsidR="008431A8">
        <w:rPr>
          <w:rFonts w:ascii="Times New Roman" w:hAnsi="Times New Roman" w:cs="Times New Roman"/>
          <w:b/>
          <w:bCs/>
        </w:rPr>
        <w:t xml:space="preserve">de Evasão Municipal por </w:t>
      </w:r>
      <w:r w:rsidRPr="00AE1769">
        <w:rPr>
          <w:rFonts w:ascii="Times New Roman" w:hAnsi="Times New Roman" w:cs="Times New Roman"/>
          <w:b/>
          <w:bCs/>
        </w:rPr>
        <w:t>Período</w:t>
      </w:r>
    </w:p>
    <w:p w14:paraId="5AB3C180" w14:textId="462DA0DE" w:rsidR="00BC5696" w:rsidRPr="00AE1769" w:rsidRDefault="00BC5696" w:rsidP="00BC5696">
      <w:pPr>
        <w:ind w:firstLine="708"/>
        <w:rPr>
          <w:rFonts w:ascii="Times New Roman" w:hAnsi="Times New Roman" w:cs="Times New Roman"/>
        </w:rPr>
      </w:pPr>
      <w:r w:rsidRPr="00AE1769">
        <w:rPr>
          <w:rFonts w:ascii="Times New Roman" w:hAnsi="Times New Roman" w:cs="Times New Roman"/>
        </w:rPr>
        <w:t>A tabela abaixo apresenta o total de internações, o número de evasões e a taxa percentual para cada período do estudo.</w:t>
      </w:r>
    </w:p>
    <w:tbl>
      <w:tblPr>
        <w:tblStyle w:val="PlainTable1"/>
        <w:tblW w:w="0" w:type="auto"/>
        <w:tblLook w:val="04A0" w:firstRow="1" w:lastRow="0" w:firstColumn="1" w:lastColumn="0" w:noHBand="0" w:noVBand="1"/>
      </w:tblPr>
      <w:tblGrid>
        <w:gridCol w:w="2123"/>
        <w:gridCol w:w="2550"/>
        <w:gridCol w:w="1843"/>
        <w:gridCol w:w="1978"/>
      </w:tblGrid>
      <w:tr w:rsidR="00BC5696" w:rsidRPr="00AE1769" w14:paraId="4632434F" w14:textId="77777777" w:rsidTr="00AE17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551DD276" w14:textId="061D261D" w:rsidR="00BC5696" w:rsidRPr="00AE1769" w:rsidRDefault="00BC5696" w:rsidP="00BC5696">
            <w:pPr>
              <w:rPr>
                <w:rFonts w:ascii="Times New Roman" w:hAnsi="Times New Roman" w:cs="Times New Roman"/>
              </w:rPr>
            </w:pPr>
            <w:r w:rsidRPr="00AE1769">
              <w:rPr>
                <w:rFonts w:ascii="Times New Roman" w:hAnsi="Times New Roman" w:cs="Times New Roman"/>
              </w:rPr>
              <w:t>Período</w:t>
            </w:r>
          </w:p>
        </w:tc>
        <w:tc>
          <w:tcPr>
            <w:tcW w:w="2550" w:type="dxa"/>
          </w:tcPr>
          <w:p w14:paraId="741FD39A" w14:textId="37161B62" w:rsidR="00BC5696" w:rsidRPr="00AE1769" w:rsidRDefault="00BC5696" w:rsidP="00BC569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E1769">
              <w:rPr>
                <w:rFonts w:ascii="Times New Roman" w:hAnsi="Times New Roman" w:cs="Times New Roman"/>
              </w:rPr>
              <w:t>Total de Internações</w:t>
            </w:r>
          </w:p>
        </w:tc>
        <w:tc>
          <w:tcPr>
            <w:tcW w:w="1843" w:type="dxa"/>
          </w:tcPr>
          <w:p w14:paraId="0405B9E1" w14:textId="14BEAD05" w:rsidR="00BC5696" w:rsidRPr="00AE1769" w:rsidRDefault="00BC5696" w:rsidP="00BC569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E1769">
              <w:rPr>
                <w:rFonts w:ascii="Times New Roman" w:hAnsi="Times New Roman" w:cs="Times New Roman"/>
              </w:rPr>
              <w:t>Evasões</w:t>
            </w:r>
          </w:p>
        </w:tc>
        <w:tc>
          <w:tcPr>
            <w:tcW w:w="1978" w:type="dxa"/>
          </w:tcPr>
          <w:p w14:paraId="6AB894D3" w14:textId="64C43830" w:rsidR="00BC5696" w:rsidRPr="00AE1769" w:rsidRDefault="00BC5696" w:rsidP="00BC569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E1769">
              <w:rPr>
                <w:rFonts w:ascii="Times New Roman" w:hAnsi="Times New Roman" w:cs="Times New Roman"/>
              </w:rPr>
              <w:t>Taxa de Evasão</w:t>
            </w:r>
          </w:p>
        </w:tc>
      </w:tr>
      <w:tr w:rsidR="00BC5696" w:rsidRPr="00AE1769" w14:paraId="16484624" w14:textId="77777777" w:rsidTr="00AE1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114D13AE" w14:textId="3F0D6DE3" w:rsidR="00BC5696" w:rsidRPr="00AE1769" w:rsidRDefault="00BC5696" w:rsidP="00BC5696">
            <w:pPr>
              <w:rPr>
                <w:rFonts w:ascii="Times New Roman" w:hAnsi="Times New Roman" w:cs="Times New Roman"/>
              </w:rPr>
            </w:pPr>
            <w:proofErr w:type="spellStart"/>
            <w:r w:rsidRPr="00AE1769">
              <w:rPr>
                <w:rFonts w:ascii="Times New Roman" w:hAnsi="Times New Roman" w:cs="Times New Roman"/>
              </w:rPr>
              <w:t>Pré</w:t>
            </w:r>
            <w:proofErr w:type="spellEnd"/>
            <w:r w:rsidRPr="00AE1769">
              <w:rPr>
                <w:rFonts w:ascii="Times New Roman" w:hAnsi="Times New Roman" w:cs="Times New Roman"/>
              </w:rPr>
              <w:t>-Pandemia</w:t>
            </w:r>
          </w:p>
        </w:tc>
        <w:tc>
          <w:tcPr>
            <w:tcW w:w="2550" w:type="dxa"/>
          </w:tcPr>
          <w:p w14:paraId="54F8B5DA" w14:textId="20531BE5" w:rsidR="00BC5696" w:rsidRPr="00AE1769" w:rsidRDefault="00402372" w:rsidP="00BC56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2372">
              <w:rPr>
                <w:rFonts w:ascii="Times New Roman" w:hAnsi="Times New Roman" w:cs="Times New Roman"/>
              </w:rPr>
              <w:t>543</w:t>
            </w:r>
            <w:r>
              <w:rPr>
                <w:rFonts w:ascii="Times New Roman" w:hAnsi="Times New Roman" w:cs="Times New Roman"/>
              </w:rPr>
              <w:t>.</w:t>
            </w:r>
            <w:r w:rsidRPr="00402372">
              <w:rPr>
                <w:rFonts w:ascii="Times New Roman" w:hAnsi="Times New Roman" w:cs="Times New Roman"/>
              </w:rPr>
              <w:t>275</w:t>
            </w:r>
          </w:p>
        </w:tc>
        <w:tc>
          <w:tcPr>
            <w:tcW w:w="1843" w:type="dxa"/>
          </w:tcPr>
          <w:p w14:paraId="64655C83" w14:textId="717D521B" w:rsidR="00BC5696" w:rsidRPr="00AE1769" w:rsidRDefault="00BC5696" w:rsidP="00BC56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1769">
              <w:rPr>
                <w:rFonts w:ascii="Times New Roman" w:hAnsi="Times New Roman" w:cs="Times New Roman"/>
              </w:rPr>
              <w:t>215.</w:t>
            </w:r>
            <w:r w:rsidR="00402372">
              <w:rPr>
                <w:rFonts w:ascii="Times New Roman" w:hAnsi="Times New Roman" w:cs="Times New Roman"/>
              </w:rPr>
              <w:t>374</w:t>
            </w:r>
          </w:p>
        </w:tc>
        <w:tc>
          <w:tcPr>
            <w:tcW w:w="1978" w:type="dxa"/>
          </w:tcPr>
          <w:p w14:paraId="1F9AF225" w14:textId="2A6BE3E6" w:rsidR="00BC5696" w:rsidRPr="00AE1769" w:rsidRDefault="00BC5696" w:rsidP="00BC56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1769">
              <w:rPr>
                <w:rFonts w:ascii="Times New Roman" w:hAnsi="Times New Roman" w:cs="Times New Roman"/>
              </w:rPr>
              <w:t>3</w:t>
            </w:r>
            <w:r w:rsidR="00402372">
              <w:rPr>
                <w:rFonts w:ascii="Times New Roman" w:hAnsi="Times New Roman" w:cs="Times New Roman"/>
              </w:rPr>
              <w:t>9,64</w:t>
            </w:r>
            <w:r w:rsidRPr="00AE1769">
              <w:rPr>
                <w:rFonts w:ascii="Times New Roman" w:hAnsi="Times New Roman" w:cs="Times New Roman"/>
              </w:rPr>
              <w:t>%</w:t>
            </w:r>
          </w:p>
        </w:tc>
      </w:tr>
      <w:tr w:rsidR="00BC5696" w:rsidRPr="00AE1769" w14:paraId="3100C1F8" w14:textId="77777777" w:rsidTr="00AE1769">
        <w:tc>
          <w:tcPr>
            <w:cnfStyle w:val="001000000000" w:firstRow="0" w:lastRow="0" w:firstColumn="1" w:lastColumn="0" w:oddVBand="0" w:evenVBand="0" w:oddHBand="0" w:evenHBand="0" w:firstRowFirstColumn="0" w:firstRowLastColumn="0" w:lastRowFirstColumn="0" w:lastRowLastColumn="0"/>
            <w:tcW w:w="2123" w:type="dxa"/>
          </w:tcPr>
          <w:p w14:paraId="6DB79E9A" w14:textId="57409BA5" w:rsidR="00BC5696" w:rsidRPr="00AE1769" w:rsidRDefault="00BC5696" w:rsidP="00BC5696">
            <w:pPr>
              <w:rPr>
                <w:rFonts w:ascii="Times New Roman" w:hAnsi="Times New Roman" w:cs="Times New Roman"/>
              </w:rPr>
            </w:pPr>
            <w:r w:rsidRPr="00AE1769">
              <w:rPr>
                <w:rFonts w:ascii="Times New Roman" w:hAnsi="Times New Roman" w:cs="Times New Roman"/>
              </w:rPr>
              <w:t>Pandemia</w:t>
            </w:r>
          </w:p>
        </w:tc>
        <w:tc>
          <w:tcPr>
            <w:tcW w:w="2550" w:type="dxa"/>
          </w:tcPr>
          <w:p w14:paraId="384C7DBF" w14:textId="000EA590" w:rsidR="00BC5696" w:rsidRPr="00AE1769" w:rsidRDefault="00402372" w:rsidP="00BC56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2372">
              <w:rPr>
                <w:rFonts w:ascii="Times New Roman" w:hAnsi="Times New Roman" w:cs="Times New Roman"/>
              </w:rPr>
              <w:t>238</w:t>
            </w:r>
            <w:r>
              <w:rPr>
                <w:rFonts w:ascii="Times New Roman" w:hAnsi="Times New Roman" w:cs="Times New Roman"/>
              </w:rPr>
              <w:t>.</w:t>
            </w:r>
            <w:r w:rsidRPr="00402372">
              <w:rPr>
                <w:rFonts w:ascii="Times New Roman" w:hAnsi="Times New Roman" w:cs="Times New Roman"/>
              </w:rPr>
              <w:t>644</w:t>
            </w:r>
          </w:p>
        </w:tc>
        <w:tc>
          <w:tcPr>
            <w:tcW w:w="1843" w:type="dxa"/>
          </w:tcPr>
          <w:p w14:paraId="6980CF57" w14:textId="0076BA7C" w:rsidR="00BC5696" w:rsidRPr="00AE1769" w:rsidRDefault="00BC5696" w:rsidP="00BC56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E1769">
              <w:rPr>
                <w:rFonts w:ascii="Times New Roman" w:hAnsi="Times New Roman" w:cs="Times New Roman"/>
              </w:rPr>
              <w:t>93.</w:t>
            </w:r>
            <w:r w:rsidR="00402372">
              <w:rPr>
                <w:rFonts w:ascii="Times New Roman" w:hAnsi="Times New Roman" w:cs="Times New Roman"/>
              </w:rPr>
              <w:t>596</w:t>
            </w:r>
          </w:p>
        </w:tc>
        <w:tc>
          <w:tcPr>
            <w:tcW w:w="1978" w:type="dxa"/>
          </w:tcPr>
          <w:p w14:paraId="0D9F3D56" w14:textId="6D8CB512" w:rsidR="00BC5696" w:rsidRPr="00AE1769" w:rsidRDefault="00BC5696" w:rsidP="00BC56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E1769">
              <w:rPr>
                <w:rFonts w:ascii="Times New Roman" w:hAnsi="Times New Roman" w:cs="Times New Roman"/>
              </w:rPr>
              <w:t>3</w:t>
            </w:r>
            <w:r w:rsidR="00402372">
              <w:rPr>
                <w:rFonts w:ascii="Times New Roman" w:hAnsi="Times New Roman" w:cs="Times New Roman"/>
              </w:rPr>
              <w:t>9,22</w:t>
            </w:r>
            <w:r w:rsidRPr="00AE1769">
              <w:rPr>
                <w:rFonts w:ascii="Times New Roman" w:hAnsi="Times New Roman" w:cs="Times New Roman"/>
              </w:rPr>
              <w:t>%</w:t>
            </w:r>
          </w:p>
        </w:tc>
      </w:tr>
      <w:tr w:rsidR="00BC5696" w:rsidRPr="00AE1769" w14:paraId="4AEA2948" w14:textId="77777777" w:rsidTr="00AE1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051E03A4" w14:textId="69F69F6E" w:rsidR="00BC5696" w:rsidRPr="00AE1769" w:rsidRDefault="00BC5696" w:rsidP="00BC5696">
            <w:pPr>
              <w:rPr>
                <w:rFonts w:ascii="Times New Roman" w:hAnsi="Times New Roman" w:cs="Times New Roman"/>
              </w:rPr>
            </w:pPr>
            <w:r w:rsidRPr="00AE1769">
              <w:rPr>
                <w:rFonts w:ascii="Times New Roman" w:hAnsi="Times New Roman" w:cs="Times New Roman"/>
              </w:rPr>
              <w:t>Pós-Pandemia</w:t>
            </w:r>
          </w:p>
        </w:tc>
        <w:tc>
          <w:tcPr>
            <w:tcW w:w="2550" w:type="dxa"/>
          </w:tcPr>
          <w:p w14:paraId="6B7E550F" w14:textId="0561E8A4" w:rsidR="00BC5696" w:rsidRPr="00AE1769" w:rsidRDefault="00402372" w:rsidP="00BC56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2372">
              <w:rPr>
                <w:rFonts w:ascii="Times New Roman" w:hAnsi="Times New Roman" w:cs="Times New Roman"/>
              </w:rPr>
              <w:t>280</w:t>
            </w:r>
            <w:r>
              <w:rPr>
                <w:rFonts w:ascii="Times New Roman" w:hAnsi="Times New Roman" w:cs="Times New Roman"/>
              </w:rPr>
              <w:t>.</w:t>
            </w:r>
            <w:r w:rsidRPr="00402372">
              <w:rPr>
                <w:rFonts w:ascii="Times New Roman" w:hAnsi="Times New Roman" w:cs="Times New Roman"/>
              </w:rPr>
              <w:t>079</w:t>
            </w:r>
          </w:p>
        </w:tc>
        <w:tc>
          <w:tcPr>
            <w:tcW w:w="1843" w:type="dxa"/>
          </w:tcPr>
          <w:p w14:paraId="68922046" w14:textId="258CBD79" w:rsidR="00BC5696" w:rsidRPr="00AE1769" w:rsidRDefault="00BC5696" w:rsidP="00BC56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1769">
              <w:rPr>
                <w:rFonts w:ascii="Times New Roman" w:hAnsi="Times New Roman" w:cs="Times New Roman"/>
              </w:rPr>
              <w:t>11</w:t>
            </w:r>
            <w:r w:rsidR="00402372">
              <w:rPr>
                <w:rFonts w:ascii="Times New Roman" w:hAnsi="Times New Roman" w:cs="Times New Roman"/>
              </w:rPr>
              <w:t>5.826</w:t>
            </w:r>
          </w:p>
        </w:tc>
        <w:tc>
          <w:tcPr>
            <w:tcW w:w="1978" w:type="dxa"/>
          </w:tcPr>
          <w:p w14:paraId="48ED1923" w14:textId="3A19AF75" w:rsidR="00BC5696" w:rsidRPr="00AE1769" w:rsidRDefault="00BC5696" w:rsidP="00BC56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1769">
              <w:rPr>
                <w:rFonts w:ascii="Times New Roman" w:hAnsi="Times New Roman" w:cs="Times New Roman"/>
              </w:rPr>
              <w:t>41,</w:t>
            </w:r>
            <w:r w:rsidR="00402372">
              <w:rPr>
                <w:rFonts w:ascii="Times New Roman" w:hAnsi="Times New Roman" w:cs="Times New Roman"/>
              </w:rPr>
              <w:t>35</w:t>
            </w:r>
            <w:r w:rsidRPr="00AE1769">
              <w:rPr>
                <w:rFonts w:ascii="Times New Roman" w:hAnsi="Times New Roman" w:cs="Times New Roman"/>
              </w:rPr>
              <w:t>%</w:t>
            </w:r>
          </w:p>
        </w:tc>
      </w:tr>
    </w:tbl>
    <w:p w14:paraId="3B5D7DEE" w14:textId="77777777" w:rsidR="00BC5696" w:rsidRDefault="00BC5696" w:rsidP="00917E03">
      <w:pPr>
        <w:rPr>
          <w:rFonts w:ascii="Times New Roman" w:hAnsi="Times New Roman" w:cs="Times New Roman"/>
        </w:rPr>
      </w:pPr>
    </w:p>
    <w:p w14:paraId="1857524D" w14:textId="6EFBB4CB" w:rsidR="00AE1769" w:rsidRPr="00AE1769" w:rsidRDefault="00402372" w:rsidP="00BC5696">
      <w:pPr>
        <w:ind w:firstLine="708"/>
        <w:rPr>
          <w:rFonts w:ascii="Times New Roman" w:hAnsi="Times New Roman" w:cs="Times New Roman"/>
        </w:rPr>
      </w:pPr>
      <w:r>
        <w:rPr>
          <w:noProof/>
        </w:rPr>
        <w:drawing>
          <wp:inline distT="0" distB="0" distL="0" distR="0" wp14:anchorId="16F526F6" wp14:editId="2C5F5413">
            <wp:extent cx="4699785" cy="2659380"/>
            <wp:effectExtent l="0" t="0" r="5715" b="7620"/>
            <wp:docPr id="1645447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03203" cy="2661314"/>
                    </a:xfrm>
                    <a:prstGeom prst="rect">
                      <a:avLst/>
                    </a:prstGeom>
                    <a:noFill/>
                    <a:ln>
                      <a:noFill/>
                    </a:ln>
                  </pic:spPr>
                </pic:pic>
              </a:graphicData>
            </a:graphic>
          </wp:inline>
        </w:drawing>
      </w:r>
    </w:p>
    <w:p w14:paraId="119E808D" w14:textId="37D735E9" w:rsidR="00B20032" w:rsidRDefault="00B20032" w:rsidP="00B20032">
      <w:pPr>
        <w:ind w:firstLine="708"/>
        <w:rPr>
          <w:rFonts w:ascii="Times New Roman" w:hAnsi="Times New Roman" w:cs="Times New Roman"/>
        </w:rPr>
      </w:pPr>
      <w:r w:rsidRPr="00B20032">
        <w:rPr>
          <w:rFonts w:ascii="Times New Roman" w:hAnsi="Times New Roman" w:cs="Times New Roman"/>
        </w:rPr>
        <w:t xml:space="preserve">A taxa de evasão ficou quase igual entre o </w:t>
      </w:r>
      <w:proofErr w:type="spellStart"/>
      <w:r w:rsidRPr="00B20032">
        <w:rPr>
          <w:rFonts w:ascii="Times New Roman" w:hAnsi="Times New Roman" w:cs="Times New Roman"/>
        </w:rPr>
        <w:t>Pré</w:t>
      </w:r>
      <w:proofErr w:type="spellEnd"/>
      <w:r w:rsidRPr="00B20032">
        <w:rPr>
          <w:rFonts w:ascii="Times New Roman" w:hAnsi="Times New Roman" w:cs="Times New Roman"/>
        </w:rPr>
        <w:t>-Pandemia (3</w:t>
      </w:r>
      <w:r w:rsidR="00402372">
        <w:rPr>
          <w:rFonts w:ascii="Times New Roman" w:hAnsi="Times New Roman" w:cs="Times New Roman"/>
        </w:rPr>
        <w:t>9</w:t>
      </w:r>
      <w:r w:rsidRPr="00B20032">
        <w:rPr>
          <w:rFonts w:ascii="Times New Roman" w:hAnsi="Times New Roman" w:cs="Times New Roman"/>
        </w:rPr>
        <w:t>,</w:t>
      </w:r>
      <w:r w:rsidR="00402372">
        <w:rPr>
          <w:rFonts w:ascii="Times New Roman" w:hAnsi="Times New Roman" w:cs="Times New Roman"/>
        </w:rPr>
        <w:t>64</w:t>
      </w:r>
      <w:r w:rsidRPr="00B20032">
        <w:rPr>
          <w:rFonts w:ascii="Times New Roman" w:hAnsi="Times New Roman" w:cs="Times New Roman"/>
        </w:rPr>
        <w:t>%) e a Pandemia (3</w:t>
      </w:r>
      <w:r w:rsidR="00402372">
        <w:rPr>
          <w:rFonts w:ascii="Times New Roman" w:hAnsi="Times New Roman" w:cs="Times New Roman"/>
        </w:rPr>
        <w:t>9</w:t>
      </w:r>
      <w:r w:rsidRPr="00B20032">
        <w:rPr>
          <w:rFonts w:ascii="Times New Roman" w:hAnsi="Times New Roman" w:cs="Times New Roman"/>
        </w:rPr>
        <w:t>,</w:t>
      </w:r>
      <w:r w:rsidR="00402372">
        <w:rPr>
          <w:rFonts w:ascii="Times New Roman" w:hAnsi="Times New Roman" w:cs="Times New Roman"/>
        </w:rPr>
        <w:t>22</w:t>
      </w:r>
      <w:r w:rsidRPr="00B20032">
        <w:rPr>
          <w:rFonts w:ascii="Times New Roman" w:hAnsi="Times New Roman" w:cs="Times New Roman"/>
        </w:rPr>
        <w:t>%), mostrando que o atendimento não parou mesmo durante a crise. O aumento mais significativo aconteceu no Pós-Pandemia (41,</w:t>
      </w:r>
      <w:r w:rsidR="00402372">
        <w:rPr>
          <w:rFonts w:ascii="Times New Roman" w:hAnsi="Times New Roman" w:cs="Times New Roman"/>
        </w:rPr>
        <w:t>35</w:t>
      </w:r>
      <w:r w:rsidRPr="00B20032">
        <w:rPr>
          <w:rFonts w:ascii="Times New Roman" w:hAnsi="Times New Roman" w:cs="Times New Roman"/>
        </w:rPr>
        <w:t>%)</w:t>
      </w:r>
      <w:r w:rsidR="00402372">
        <w:rPr>
          <w:rFonts w:ascii="Times New Roman" w:hAnsi="Times New Roman" w:cs="Times New Roman"/>
        </w:rPr>
        <w:t xml:space="preserve">. </w:t>
      </w:r>
      <w:r w:rsidRPr="00B20032">
        <w:rPr>
          <w:rFonts w:ascii="Times New Roman" w:hAnsi="Times New Roman" w:cs="Times New Roman"/>
        </w:rPr>
        <w:t>Isso pode indicar fechamento de leitos, mudanças na organização da rede ou mais pacientes em municípios que não conseguiram atender toda a demanda. O resultado é inesperado, pois esperava-se que a situação voltasse ao normal depois da pandemia, mas ela piorou.</w:t>
      </w:r>
    </w:p>
    <w:p w14:paraId="63ACA321" w14:textId="68DA1683" w:rsidR="00BC5696" w:rsidRPr="00AE1769" w:rsidRDefault="00BC5696" w:rsidP="00BC5696">
      <w:pPr>
        <w:rPr>
          <w:rFonts w:ascii="Times New Roman" w:hAnsi="Times New Roman" w:cs="Times New Roman"/>
          <w:b/>
          <w:bCs/>
        </w:rPr>
      </w:pPr>
      <w:r w:rsidRPr="00AE1769">
        <w:rPr>
          <w:rFonts w:ascii="Times New Roman" w:hAnsi="Times New Roman" w:cs="Times New Roman"/>
          <w:b/>
          <w:bCs/>
        </w:rPr>
        <w:t>b. Evolução Anual da Taxa de Evasão</w:t>
      </w:r>
    </w:p>
    <w:p w14:paraId="3B1D5DDA" w14:textId="7F868623" w:rsidR="00BC5696" w:rsidRDefault="00EB6E46" w:rsidP="00BC5696">
      <w:pPr>
        <w:ind w:firstLine="708"/>
        <w:rPr>
          <w:rFonts w:ascii="Times New Roman" w:hAnsi="Times New Roman" w:cs="Times New Roman"/>
        </w:rPr>
      </w:pPr>
      <w:r w:rsidRPr="00EB6E46">
        <w:rPr>
          <w:rFonts w:ascii="Times New Roman" w:hAnsi="Times New Roman" w:cs="Times New Roman"/>
        </w:rPr>
        <w:t xml:space="preserve">O gráfico mostra que a taxa de evasão municipal teve uma leve tendência de alta ao longo do tempo. No período </w:t>
      </w:r>
      <w:proofErr w:type="spellStart"/>
      <w:r w:rsidRPr="00EB6E46">
        <w:rPr>
          <w:rFonts w:ascii="Times New Roman" w:hAnsi="Times New Roman" w:cs="Times New Roman"/>
        </w:rPr>
        <w:t>Pré</w:t>
      </w:r>
      <w:proofErr w:type="spellEnd"/>
      <w:r w:rsidRPr="00EB6E46">
        <w:rPr>
          <w:rFonts w:ascii="Times New Roman" w:hAnsi="Times New Roman" w:cs="Times New Roman"/>
        </w:rPr>
        <w:t xml:space="preserve">-Pandemia (2015–2019), a taxa aumentou gradualmente de cerca de 38% para </w:t>
      </w:r>
      <w:r w:rsidR="00402372">
        <w:rPr>
          <w:rFonts w:ascii="Times New Roman" w:hAnsi="Times New Roman" w:cs="Times New Roman"/>
        </w:rPr>
        <w:t>mais de</w:t>
      </w:r>
      <w:r w:rsidRPr="00EB6E46">
        <w:rPr>
          <w:rFonts w:ascii="Times New Roman" w:hAnsi="Times New Roman" w:cs="Times New Roman"/>
        </w:rPr>
        <w:t xml:space="preserve"> 40%. Durante a Pandemia (2020–2022), observou-se um salto mais acentuado, especialmente em 2022, </w:t>
      </w:r>
      <w:r w:rsidR="00402372">
        <w:rPr>
          <w:rFonts w:ascii="Times New Roman" w:hAnsi="Times New Roman" w:cs="Times New Roman"/>
        </w:rPr>
        <w:t>chegando quase em</w:t>
      </w:r>
      <w:r w:rsidRPr="00EB6E46">
        <w:rPr>
          <w:rFonts w:ascii="Times New Roman" w:hAnsi="Times New Roman" w:cs="Times New Roman"/>
        </w:rPr>
        <w:t xml:space="preserve"> 4</w:t>
      </w:r>
      <w:r w:rsidR="00402372">
        <w:rPr>
          <w:rFonts w:ascii="Times New Roman" w:hAnsi="Times New Roman" w:cs="Times New Roman"/>
        </w:rPr>
        <w:t>1</w:t>
      </w:r>
      <w:r w:rsidRPr="00EB6E46">
        <w:rPr>
          <w:rFonts w:ascii="Times New Roman" w:hAnsi="Times New Roman" w:cs="Times New Roman"/>
        </w:rPr>
        <w:t>%. No Pós-Pandemia (2023–2025), a taxa se manteve elevada, com leve variação entre 40</w:t>
      </w:r>
      <w:r w:rsidR="00402372">
        <w:rPr>
          <w:rFonts w:ascii="Times New Roman" w:hAnsi="Times New Roman" w:cs="Times New Roman"/>
        </w:rPr>
        <w:t>,5</w:t>
      </w:r>
      <w:r w:rsidRPr="00EB6E46">
        <w:rPr>
          <w:rFonts w:ascii="Times New Roman" w:hAnsi="Times New Roman" w:cs="Times New Roman"/>
        </w:rPr>
        <w:t>% e 42</w:t>
      </w:r>
      <w:r w:rsidR="00402372">
        <w:rPr>
          <w:rFonts w:ascii="Times New Roman" w:hAnsi="Times New Roman" w:cs="Times New Roman"/>
        </w:rPr>
        <w:t>,5</w:t>
      </w:r>
      <w:r w:rsidRPr="00EB6E46">
        <w:rPr>
          <w:rFonts w:ascii="Times New Roman" w:hAnsi="Times New Roman" w:cs="Times New Roman"/>
        </w:rPr>
        <w:t xml:space="preserve">%, indicando que, mesmo após a crise sanitária, a evasão continuou acima dos níveis </w:t>
      </w:r>
      <w:proofErr w:type="spellStart"/>
      <w:r w:rsidRPr="00EB6E46">
        <w:rPr>
          <w:rFonts w:ascii="Times New Roman" w:hAnsi="Times New Roman" w:cs="Times New Roman"/>
        </w:rPr>
        <w:t>pré</w:t>
      </w:r>
      <w:proofErr w:type="spellEnd"/>
      <w:r w:rsidRPr="00EB6E46">
        <w:rPr>
          <w:rFonts w:ascii="Times New Roman" w:hAnsi="Times New Roman" w:cs="Times New Roman"/>
        </w:rPr>
        <w:t>-pandemia. O padrão sugere que fatores estruturais ou reorganizações locais podem estar influenciando esse aumento persistente.</w:t>
      </w:r>
    </w:p>
    <w:p w14:paraId="75F3A988" w14:textId="703430C8" w:rsidR="00402372" w:rsidRDefault="00402372" w:rsidP="00BC5696">
      <w:pPr>
        <w:ind w:firstLine="708"/>
        <w:rPr>
          <w:rFonts w:ascii="Times New Roman" w:hAnsi="Times New Roman" w:cs="Times New Roman"/>
        </w:rPr>
      </w:pPr>
      <w:r>
        <w:rPr>
          <w:noProof/>
        </w:rPr>
        <w:lastRenderedPageBreak/>
        <w:drawing>
          <wp:inline distT="0" distB="0" distL="0" distR="0" wp14:anchorId="70E03962" wp14:editId="0BFEB8E2">
            <wp:extent cx="5013960" cy="1975161"/>
            <wp:effectExtent l="0" t="0" r="0" b="6350"/>
            <wp:docPr id="2030352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23791" cy="1979034"/>
                    </a:xfrm>
                    <a:prstGeom prst="rect">
                      <a:avLst/>
                    </a:prstGeom>
                    <a:noFill/>
                    <a:ln>
                      <a:noFill/>
                    </a:ln>
                  </pic:spPr>
                </pic:pic>
              </a:graphicData>
            </a:graphic>
          </wp:inline>
        </w:drawing>
      </w:r>
    </w:p>
    <w:p w14:paraId="01872580" w14:textId="286837EA" w:rsidR="00BC5696" w:rsidRPr="00AE1769" w:rsidRDefault="00BC5696" w:rsidP="00BC5696">
      <w:pPr>
        <w:rPr>
          <w:rFonts w:ascii="Times New Roman" w:hAnsi="Times New Roman" w:cs="Times New Roman"/>
        </w:rPr>
      </w:pPr>
      <w:r w:rsidRPr="00AE1769">
        <w:rPr>
          <w:rFonts w:ascii="Times New Roman" w:hAnsi="Times New Roman" w:cs="Times New Roman"/>
          <w:b/>
          <w:bCs/>
        </w:rPr>
        <w:t>c. Municípios com Maior Evasão: Vazios Assistenciais</w:t>
      </w:r>
    </w:p>
    <w:p w14:paraId="41C8A56D" w14:textId="6764EBF8" w:rsidR="00AE1769" w:rsidRDefault="00BC5696" w:rsidP="00AE1769">
      <w:pPr>
        <w:ind w:firstLine="708"/>
        <w:rPr>
          <w:rFonts w:ascii="Times New Roman" w:hAnsi="Times New Roman" w:cs="Times New Roman"/>
        </w:rPr>
      </w:pPr>
      <w:r w:rsidRPr="00AE1769">
        <w:rPr>
          <w:rFonts w:ascii="Times New Roman" w:hAnsi="Times New Roman" w:cs="Times New Roman"/>
        </w:rPr>
        <w:t>Um vazio assistencial crônico é definido como município cuja taxa de evasão atingiu 100% durante todo o período analisado</w:t>
      </w:r>
      <w:r w:rsidR="00EB6E46">
        <w:rPr>
          <w:rFonts w:ascii="Times New Roman" w:hAnsi="Times New Roman" w:cs="Times New Roman"/>
        </w:rPr>
        <w:t>, ou seja,</w:t>
      </w:r>
      <w:r w:rsidRPr="00AE1769">
        <w:rPr>
          <w:rFonts w:ascii="Times New Roman" w:hAnsi="Times New Roman" w:cs="Times New Roman"/>
        </w:rPr>
        <w:t xml:space="preserve"> nenhum paciente residente foi internado em seu próprio município. </w:t>
      </w:r>
    </w:p>
    <w:p w14:paraId="500FDFEB" w14:textId="00D7F4DA" w:rsidR="00AE1769" w:rsidRPr="00AE1769" w:rsidRDefault="00402372" w:rsidP="00AE1769">
      <w:pPr>
        <w:ind w:firstLine="708"/>
        <w:rPr>
          <w:rFonts w:ascii="Times New Roman" w:hAnsi="Times New Roman" w:cs="Times New Roman"/>
        </w:rPr>
      </w:pPr>
      <w:r>
        <w:rPr>
          <w:rFonts w:ascii="Times New Roman" w:hAnsi="Times New Roman" w:cs="Times New Roman"/>
        </w:rPr>
        <w:t>Metade</w:t>
      </w:r>
      <w:r w:rsidR="00EB6E46" w:rsidRPr="00EB6E46">
        <w:rPr>
          <w:rFonts w:ascii="Times New Roman" w:hAnsi="Times New Roman" w:cs="Times New Roman"/>
        </w:rPr>
        <w:t xml:space="preserve"> dos municípios que enviam pacientes para internações psiquiátricas não têm leitos disponíveis localmente. Isso mostra que o sistema de saúde mental em São Paulo é muito centralizado, com poucos municípios oferecendo a maior parte dos leitos. Os 925 municípios sem leitos são prioridade para investimentos em infraestrutura ou para repensar a distribuição regional dos leitos. </w:t>
      </w:r>
    </w:p>
    <w:tbl>
      <w:tblPr>
        <w:tblStyle w:val="PlainTable1"/>
        <w:tblW w:w="0" w:type="auto"/>
        <w:tblLook w:val="04A0" w:firstRow="1" w:lastRow="0" w:firstColumn="1" w:lastColumn="0" w:noHBand="0" w:noVBand="1"/>
      </w:tblPr>
      <w:tblGrid>
        <w:gridCol w:w="5949"/>
        <w:gridCol w:w="2545"/>
      </w:tblGrid>
      <w:tr w:rsidR="00BC5696" w:rsidRPr="00AE1769" w14:paraId="66936957" w14:textId="77777777" w:rsidTr="00AE17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9" w:type="dxa"/>
          </w:tcPr>
          <w:p w14:paraId="5E418BB0" w14:textId="60E1FAC0" w:rsidR="00BC5696" w:rsidRPr="00AE1769" w:rsidRDefault="00BC5696" w:rsidP="00BC5696">
            <w:pPr>
              <w:rPr>
                <w:rFonts w:ascii="Times New Roman" w:hAnsi="Times New Roman" w:cs="Times New Roman"/>
              </w:rPr>
            </w:pPr>
            <w:r w:rsidRPr="00AE1769">
              <w:rPr>
                <w:rFonts w:ascii="Times New Roman" w:hAnsi="Times New Roman" w:cs="Times New Roman"/>
              </w:rPr>
              <w:t>Indicador</w:t>
            </w:r>
          </w:p>
        </w:tc>
        <w:tc>
          <w:tcPr>
            <w:tcW w:w="2545" w:type="dxa"/>
          </w:tcPr>
          <w:p w14:paraId="1398C392" w14:textId="209DE81F" w:rsidR="00BC5696" w:rsidRPr="00AE1769" w:rsidRDefault="00BC5696" w:rsidP="00BC569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E1769">
              <w:rPr>
                <w:rFonts w:ascii="Times New Roman" w:hAnsi="Times New Roman" w:cs="Times New Roman"/>
              </w:rPr>
              <w:t>Valor</w:t>
            </w:r>
          </w:p>
        </w:tc>
      </w:tr>
      <w:tr w:rsidR="00BC5696" w:rsidRPr="00AE1769" w14:paraId="71345F4C" w14:textId="77777777" w:rsidTr="00AE1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9" w:type="dxa"/>
          </w:tcPr>
          <w:p w14:paraId="403D1C60" w14:textId="7AAF8096" w:rsidR="00BC5696" w:rsidRPr="00AE1769" w:rsidRDefault="00BC5696" w:rsidP="00BC5696">
            <w:pPr>
              <w:rPr>
                <w:rFonts w:ascii="Times New Roman" w:hAnsi="Times New Roman" w:cs="Times New Roman"/>
              </w:rPr>
            </w:pPr>
            <w:r w:rsidRPr="00AE1769">
              <w:rPr>
                <w:rFonts w:ascii="Times New Roman" w:hAnsi="Times New Roman" w:cs="Times New Roman"/>
              </w:rPr>
              <w:t>Total de municípios de residência identificados</w:t>
            </w:r>
          </w:p>
        </w:tc>
        <w:tc>
          <w:tcPr>
            <w:tcW w:w="2545" w:type="dxa"/>
          </w:tcPr>
          <w:p w14:paraId="03766CB0" w14:textId="0DFBA137" w:rsidR="00BC5696" w:rsidRPr="00AE1769" w:rsidRDefault="00BC5696" w:rsidP="00BC56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1769">
              <w:rPr>
                <w:rFonts w:ascii="Times New Roman" w:hAnsi="Times New Roman" w:cs="Times New Roman"/>
              </w:rPr>
              <w:t>1.256</w:t>
            </w:r>
          </w:p>
        </w:tc>
      </w:tr>
      <w:tr w:rsidR="00BC5696" w:rsidRPr="00AE1769" w14:paraId="11D3C367" w14:textId="77777777" w:rsidTr="00AE1769">
        <w:tc>
          <w:tcPr>
            <w:cnfStyle w:val="001000000000" w:firstRow="0" w:lastRow="0" w:firstColumn="1" w:lastColumn="0" w:oddVBand="0" w:evenVBand="0" w:oddHBand="0" w:evenHBand="0" w:firstRowFirstColumn="0" w:firstRowLastColumn="0" w:lastRowFirstColumn="0" w:lastRowLastColumn="0"/>
            <w:tcW w:w="5949" w:type="dxa"/>
          </w:tcPr>
          <w:p w14:paraId="0138CBC4" w14:textId="230AD682" w:rsidR="00BC5696" w:rsidRPr="00AE1769" w:rsidRDefault="00BC5696" w:rsidP="00BC5696">
            <w:pPr>
              <w:rPr>
                <w:rFonts w:ascii="Times New Roman" w:hAnsi="Times New Roman" w:cs="Times New Roman"/>
              </w:rPr>
            </w:pPr>
            <w:r w:rsidRPr="00AE1769">
              <w:rPr>
                <w:rFonts w:ascii="Times New Roman" w:hAnsi="Times New Roman" w:cs="Times New Roman"/>
              </w:rPr>
              <w:t>Municípios com evasão = 100% (vazios crônicos)</w:t>
            </w:r>
          </w:p>
        </w:tc>
        <w:tc>
          <w:tcPr>
            <w:tcW w:w="2545" w:type="dxa"/>
          </w:tcPr>
          <w:p w14:paraId="7AEDDA11" w14:textId="4A744345" w:rsidR="00BC5696" w:rsidRPr="00AE1769" w:rsidRDefault="00BC5696" w:rsidP="00BC56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E1769">
              <w:rPr>
                <w:rFonts w:ascii="Times New Roman" w:hAnsi="Times New Roman" w:cs="Times New Roman"/>
              </w:rPr>
              <w:t>925</w:t>
            </w:r>
          </w:p>
        </w:tc>
      </w:tr>
      <w:tr w:rsidR="00BC5696" w:rsidRPr="00AE1769" w14:paraId="45536C3E" w14:textId="77777777" w:rsidTr="00AE1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9" w:type="dxa"/>
          </w:tcPr>
          <w:p w14:paraId="03FC03CA" w14:textId="4AC34242" w:rsidR="00BC5696" w:rsidRPr="00AE1769" w:rsidRDefault="00BC5696" w:rsidP="00BC5696">
            <w:pPr>
              <w:rPr>
                <w:rFonts w:ascii="Times New Roman" w:hAnsi="Times New Roman" w:cs="Times New Roman"/>
              </w:rPr>
            </w:pPr>
            <w:r w:rsidRPr="00AE1769">
              <w:rPr>
                <w:rFonts w:ascii="Times New Roman" w:hAnsi="Times New Roman" w:cs="Times New Roman"/>
              </w:rPr>
              <w:t>Percentual de vazios crônicos</w:t>
            </w:r>
          </w:p>
        </w:tc>
        <w:tc>
          <w:tcPr>
            <w:tcW w:w="2545" w:type="dxa"/>
          </w:tcPr>
          <w:p w14:paraId="762A06CA" w14:textId="43A64C18" w:rsidR="00BC5696" w:rsidRPr="00AE1769" w:rsidRDefault="00BC5696" w:rsidP="00BC56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1769">
              <w:rPr>
                <w:rFonts w:ascii="Times New Roman" w:hAnsi="Times New Roman" w:cs="Times New Roman"/>
              </w:rPr>
              <w:t>73,6%</w:t>
            </w:r>
          </w:p>
        </w:tc>
      </w:tr>
      <w:tr w:rsidR="00BC5696" w:rsidRPr="00AE1769" w14:paraId="5ACD638C" w14:textId="77777777" w:rsidTr="00AE1769">
        <w:tc>
          <w:tcPr>
            <w:cnfStyle w:val="001000000000" w:firstRow="0" w:lastRow="0" w:firstColumn="1" w:lastColumn="0" w:oddVBand="0" w:evenVBand="0" w:oddHBand="0" w:evenHBand="0" w:firstRowFirstColumn="0" w:firstRowLastColumn="0" w:lastRowFirstColumn="0" w:lastRowLastColumn="0"/>
            <w:tcW w:w="5949" w:type="dxa"/>
          </w:tcPr>
          <w:p w14:paraId="2C6C5FEA" w14:textId="27BF9F61" w:rsidR="00BC5696" w:rsidRPr="00AE1769" w:rsidRDefault="00BC5696" w:rsidP="00BC5696">
            <w:pPr>
              <w:rPr>
                <w:rFonts w:ascii="Times New Roman" w:hAnsi="Times New Roman" w:cs="Times New Roman"/>
              </w:rPr>
            </w:pPr>
            <w:r w:rsidRPr="00AE1769">
              <w:rPr>
                <w:rFonts w:ascii="Times New Roman" w:hAnsi="Times New Roman" w:cs="Times New Roman"/>
              </w:rPr>
              <w:t>Municípios com evasão parcial (entre 0% e 100%)</w:t>
            </w:r>
          </w:p>
        </w:tc>
        <w:tc>
          <w:tcPr>
            <w:tcW w:w="2545" w:type="dxa"/>
          </w:tcPr>
          <w:p w14:paraId="54A8623B" w14:textId="0847C8C7" w:rsidR="00BC5696" w:rsidRPr="00AE1769" w:rsidRDefault="00BC5696" w:rsidP="00BC56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E1769">
              <w:rPr>
                <w:rFonts w:ascii="Times New Roman" w:hAnsi="Times New Roman" w:cs="Times New Roman"/>
              </w:rPr>
              <w:t>331</w:t>
            </w:r>
          </w:p>
        </w:tc>
      </w:tr>
    </w:tbl>
    <w:p w14:paraId="4EF02F15" w14:textId="073821C3" w:rsidR="00AE1769" w:rsidRPr="00AE1769" w:rsidRDefault="00AE1769" w:rsidP="00EB6E46">
      <w:pPr>
        <w:rPr>
          <w:rFonts w:ascii="Times New Roman" w:hAnsi="Times New Roman" w:cs="Times New Roman"/>
        </w:rPr>
      </w:pPr>
    </w:p>
    <w:p w14:paraId="440EA74F" w14:textId="31D19930" w:rsidR="00555770" w:rsidRPr="00AE1769" w:rsidRDefault="00555770">
      <w:pPr>
        <w:rPr>
          <w:rFonts w:ascii="Times New Roman" w:hAnsi="Times New Roman" w:cs="Times New Roman"/>
          <w:b/>
          <w:bCs/>
        </w:rPr>
      </w:pPr>
      <w:r w:rsidRPr="00AE1769">
        <w:rPr>
          <w:rFonts w:ascii="Times New Roman" w:hAnsi="Times New Roman" w:cs="Times New Roman"/>
          <w:b/>
          <w:bCs/>
        </w:rPr>
        <w:t>2. Análise Por DRS</w:t>
      </w:r>
    </w:p>
    <w:p w14:paraId="74625204" w14:textId="76D71DEF" w:rsidR="00BC5696" w:rsidRPr="00AE1769" w:rsidRDefault="00BC5696">
      <w:pPr>
        <w:rPr>
          <w:rFonts w:ascii="Times New Roman" w:hAnsi="Times New Roman" w:cs="Times New Roman"/>
        </w:rPr>
      </w:pPr>
      <w:r w:rsidRPr="00AE1769">
        <w:rPr>
          <w:rFonts w:ascii="Times New Roman" w:hAnsi="Times New Roman" w:cs="Times New Roman"/>
        </w:rPr>
        <w:tab/>
        <w:t>O Departamento Regional de Saúde (DRS) é a unidade administrativa de saúde do estado de São Paulo. O estudo utiliza 1</w:t>
      </w:r>
      <w:r w:rsidR="008431A8">
        <w:rPr>
          <w:rFonts w:ascii="Times New Roman" w:hAnsi="Times New Roman" w:cs="Times New Roman"/>
        </w:rPr>
        <w:t>7</w:t>
      </w:r>
      <w:r w:rsidRPr="00AE1769">
        <w:rPr>
          <w:rFonts w:ascii="Times New Roman" w:hAnsi="Times New Roman" w:cs="Times New Roman"/>
        </w:rPr>
        <w:t xml:space="preserve"> DRS como unidade de análise regional, permitindo identificar desigualdades territoriais na oferta e na demanda por internações psiquiátricas.</w:t>
      </w:r>
    </w:p>
    <w:p w14:paraId="41B3F631" w14:textId="3036C189" w:rsidR="00BC5696" w:rsidRPr="00AE1769" w:rsidRDefault="00BC5696">
      <w:pPr>
        <w:rPr>
          <w:rFonts w:ascii="Times New Roman" w:hAnsi="Times New Roman" w:cs="Times New Roman"/>
          <w:b/>
          <w:bCs/>
        </w:rPr>
      </w:pPr>
      <w:r w:rsidRPr="00AE1769">
        <w:rPr>
          <w:rFonts w:ascii="Times New Roman" w:hAnsi="Times New Roman" w:cs="Times New Roman"/>
          <w:b/>
          <w:bCs/>
        </w:rPr>
        <w:t>a. Concentração de Internações Por DRS</w:t>
      </w:r>
    </w:p>
    <w:p w14:paraId="4EE6B56C" w14:textId="3DEDE8AB" w:rsidR="00C64192" w:rsidRDefault="00C64192" w:rsidP="00C64192">
      <w:pPr>
        <w:ind w:firstLine="708"/>
        <w:rPr>
          <w:rFonts w:ascii="Times New Roman" w:hAnsi="Times New Roman" w:cs="Times New Roman"/>
        </w:rPr>
      </w:pPr>
      <w:r w:rsidRPr="00C64192">
        <w:rPr>
          <w:rFonts w:ascii="Times New Roman" w:hAnsi="Times New Roman" w:cs="Times New Roman"/>
        </w:rPr>
        <w:t xml:space="preserve">A DRS Grande São Paulo tem o maior número de internações em todos os períodos. Isso acontece principalmente por causa da grande população da capital e da concentração de serviços de saúde especializados. As DRS do interior, como </w:t>
      </w:r>
      <w:r w:rsidR="000070D0">
        <w:rPr>
          <w:rFonts w:ascii="Times New Roman" w:hAnsi="Times New Roman" w:cs="Times New Roman"/>
        </w:rPr>
        <w:t xml:space="preserve">São João da Boa Vista, </w:t>
      </w:r>
      <w:r w:rsidRPr="00C64192">
        <w:rPr>
          <w:rFonts w:ascii="Times New Roman" w:hAnsi="Times New Roman" w:cs="Times New Roman"/>
        </w:rPr>
        <w:t>Campinas</w:t>
      </w:r>
      <w:r w:rsidR="000070D0">
        <w:rPr>
          <w:rFonts w:ascii="Times New Roman" w:hAnsi="Times New Roman" w:cs="Times New Roman"/>
        </w:rPr>
        <w:t xml:space="preserve"> e</w:t>
      </w:r>
      <w:r w:rsidRPr="00C64192">
        <w:rPr>
          <w:rFonts w:ascii="Times New Roman" w:hAnsi="Times New Roman" w:cs="Times New Roman"/>
        </w:rPr>
        <w:t xml:space="preserve"> </w:t>
      </w:r>
      <w:r w:rsidR="000070D0">
        <w:rPr>
          <w:rFonts w:ascii="Times New Roman" w:hAnsi="Times New Roman" w:cs="Times New Roman"/>
        </w:rPr>
        <w:t>Marília</w:t>
      </w:r>
      <w:r w:rsidRPr="00C64192">
        <w:rPr>
          <w:rFonts w:ascii="Times New Roman" w:hAnsi="Times New Roman" w:cs="Times New Roman"/>
        </w:rPr>
        <w:t xml:space="preserve"> também aparecem com muitos casos, mostrando que são importantes polos regionais de atendimento. Durante a pandemia, houve queda nas internações em todas as regiões, o que está ligado à redução de procedimentos eletivos. No pós-pandemia, algumas DRS voltaram a níveis próximos aos de antes, mas outras ainda ficaram abaixo, o que pode indicar redução da capacidade de atendimento</w:t>
      </w:r>
      <w:r>
        <w:rPr>
          <w:rFonts w:ascii="Times New Roman" w:hAnsi="Times New Roman" w:cs="Times New Roman"/>
        </w:rPr>
        <w:t xml:space="preserve"> </w:t>
      </w:r>
      <w:r w:rsidRPr="00C64192">
        <w:rPr>
          <w:rFonts w:ascii="Times New Roman" w:hAnsi="Times New Roman" w:cs="Times New Roman"/>
        </w:rPr>
        <w:t>em algumas regiões.</w:t>
      </w:r>
    </w:p>
    <w:p w14:paraId="1A713898" w14:textId="6525CBE0" w:rsidR="00917E03" w:rsidRDefault="000070D0" w:rsidP="00C64192">
      <w:pPr>
        <w:ind w:firstLine="708"/>
        <w:rPr>
          <w:rFonts w:ascii="Times New Roman" w:hAnsi="Times New Roman" w:cs="Times New Roman"/>
        </w:rPr>
      </w:pPr>
      <w:r>
        <w:rPr>
          <w:noProof/>
        </w:rPr>
        <w:lastRenderedPageBreak/>
        <w:drawing>
          <wp:inline distT="0" distB="0" distL="0" distR="0" wp14:anchorId="79270E3A" wp14:editId="0640CFD3">
            <wp:extent cx="5400040" cy="2515870"/>
            <wp:effectExtent l="0" t="0" r="0" b="0"/>
            <wp:docPr id="13746834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2515870"/>
                    </a:xfrm>
                    <a:prstGeom prst="rect">
                      <a:avLst/>
                    </a:prstGeom>
                    <a:noFill/>
                    <a:ln>
                      <a:noFill/>
                    </a:ln>
                  </pic:spPr>
                </pic:pic>
              </a:graphicData>
            </a:graphic>
          </wp:inline>
        </w:drawing>
      </w:r>
    </w:p>
    <w:p w14:paraId="20DB681A" w14:textId="6388EB06" w:rsidR="00BB7E4B" w:rsidRPr="00BB7E4B" w:rsidRDefault="00BB7E4B" w:rsidP="00BB7E4B">
      <w:pPr>
        <w:ind w:firstLine="708"/>
        <w:rPr>
          <w:rFonts w:ascii="Times New Roman" w:hAnsi="Times New Roman" w:cs="Times New Roman"/>
        </w:rPr>
      </w:pPr>
      <w:r w:rsidRPr="00BB7E4B">
        <w:rPr>
          <w:rFonts w:ascii="Times New Roman" w:hAnsi="Times New Roman" w:cs="Times New Roman"/>
        </w:rPr>
        <w:t xml:space="preserve">O gráfico </w:t>
      </w:r>
      <w:r>
        <w:rPr>
          <w:rFonts w:ascii="Times New Roman" w:hAnsi="Times New Roman" w:cs="Times New Roman"/>
        </w:rPr>
        <w:t xml:space="preserve">abaixo </w:t>
      </w:r>
      <w:r w:rsidRPr="00BB7E4B">
        <w:rPr>
          <w:rFonts w:ascii="Times New Roman" w:hAnsi="Times New Roman" w:cs="Times New Roman"/>
        </w:rPr>
        <w:t xml:space="preserve">mostra uma forte concentração de internações na DRS Grande São Paulo, responsável por uma parcela significativa do total, seguida por DRS São João da Boa Vista e DRS Campinas. A curva de percentual acumulado </w:t>
      </w:r>
      <w:proofErr w:type="gramStart"/>
      <w:r w:rsidRPr="00BB7E4B">
        <w:rPr>
          <w:rFonts w:ascii="Times New Roman" w:hAnsi="Times New Roman" w:cs="Times New Roman"/>
        </w:rPr>
        <w:t>evidencia</w:t>
      </w:r>
      <w:proofErr w:type="gramEnd"/>
      <w:r w:rsidRPr="00BB7E4B">
        <w:rPr>
          <w:rFonts w:ascii="Times New Roman" w:hAnsi="Times New Roman" w:cs="Times New Roman"/>
        </w:rPr>
        <w:t xml:space="preserve"> que poucas DRS concentram a maior parte das internações, enquanto as demais apresentam volumes relativamente baixos. Isso indica uma distribuição bastante desigual, sugerindo que a oferta de serviços hospitalares é centralizada em poucos polos regionais.</w:t>
      </w:r>
    </w:p>
    <w:p w14:paraId="1D02DE6C" w14:textId="77777777" w:rsidR="00BB7E4B" w:rsidRDefault="00BB7E4B" w:rsidP="00C64192">
      <w:pPr>
        <w:ind w:firstLine="708"/>
        <w:rPr>
          <w:rFonts w:ascii="Times New Roman" w:hAnsi="Times New Roman" w:cs="Times New Roman"/>
        </w:rPr>
      </w:pPr>
    </w:p>
    <w:p w14:paraId="35E2ACF2" w14:textId="7A4CFE10" w:rsidR="00BB7E4B" w:rsidRPr="00AE1769" w:rsidRDefault="00BB7E4B" w:rsidP="00C64192">
      <w:pPr>
        <w:ind w:firstLine="708"/>
        <w:rPr>
          <w:rFonts w:ascii="Times New Roman" w:hAnsi="Times New Roman" w:cs="Times New Roman"/>
        </w:rPr>
      </w:pPr>
      <w:r>
        <w:rPr>
          <w:noProof/>
        </w:rPr>
        <w:drawing>
          <wp:inline distT="0" distB="0" distL="0" distR="0" wp14:anchorId="782F8276" wp14:editId="0DBC276A">
            <wp:extent cx="4945380" cy="3526433"/>
            <wp:effectExtent l="0" t="0" r="7620" b="0"/>
            <wp:docPr id="241359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49788" cy="3529576"/>
                    </a:xfrm>
                    <a:prstGeom prst="rect">
                      <a:avLst/>
                    </a:prstGeom>
                    <a:noFill/>
                    <a:ln>
                      <a:noFill/>
                    </a:ln>
                  </pic:spPr>
                </pic:pic>
              </a:graphicData>
            </a:graphic>
          </wp:inline>
        </w:drawing>
      </w:r>
    </w:p>
    <w:p w14:paraId="57BFA7A3" w14:textId="3D4186ED" w:rsidR="00BC5696" w:rsidRPr="00AE1769" w:rsidRDefault="00BC5696">
      <w:pPr>
        <w:rPr>
          <w:rFonts w:ascii="Times New Roman" w:hAnsi="Times New Roman" w:cs="Times New Roman"/>
          <w:b/>
          <w:bCs/>
        </w:rPr>
      </w:pPr>
      <w:r w:rsidRPr="00AE1769">
        <w:rPr>
          <w:rFonts w:ascii="Times New Roman" w:hAnsi="Times New Roman" w:cs="Times New Roman"/>
          <w:b/>
          <w:bCs/>
        </w:rPr>
        <w:t>b. Deslocamento Entre DRS</w:t>
      </w:r>
    </w:p>
    <w:p w14:paraId="1D46D879" w14:textId="3DA358AA" w:rsidR="00BC5696" w:rsidRPr="00AE1769" w:rsidRDefault="00C64192" w:rsidP="00AE1769">
      <w:pPr>
        <w:ind w:firstLine="708"/>
        <w:rPr>
          <w:rFonts w:ascii="Times New Roman" w:hAnsi="Times New Roman" w:cs="Times New Roman"/>
        </w:rPr>
      </w:pPr>
      <w:r w:rsidRPr="00C64192">
        <w:rPr>
          <w:rFonts w:ascii="Times New Roman" w:hAnsi="Times New Roman" w:cs="Times New Roman"/>
        </w:rPr>
        <w:t>O deslocamento entre DRS indica um nível mais alto de evasão, pois o paciente precisa sair não apenas do seu município, mas também da sua própria região de saúde para conseguir internação. Durante a pandemia, essa taxa caiu de 8,</w:t>
      </w:r>
      <w:r w:rsidR="00BB7E4B">
        <w:rPr>
          <w:rFonts w:ascii="Times New Roman" w:hAnsi="Times New Roman" w:cs="Times New Roman"/>
        </w:rPr>
        <w:t>2</w:t>
      </w:r>
      <w:r w:rsidRPr="00C64192">
        <w:rPr>
          <w:rFonts w:ascii="Times New Roman" w:hAnsi="Times New Roman" w:cs="Times New Roman"/>
        </w:rPr>
        <w:t xml:space="preserve">% para 5,7%, uma </w:t>
      </w:r>
      <w:r w:rsidRPr="00C64192">
        <w:rPr>
          <w:rFonts w:ascii="Times New Roman" w:hAnsi="Times New Roman" w:cs="Times New Roman"/>
        </w:rPr>
        <w:lastRenderedPageBreak/>
        <w:t>redução significativa. Isso contrasta com a evasão entre municípios, que permaneceu praticamente estável no mesmo período. Esse comportamento sugere que, com as dificuldades de deslocamento em longas distâncias, os pacientes passaram a ser internados em serviços mais próximos, ainda que fora do seu município de residência. No pós-pandemia, a taxa voltou a crescer (</w:t>
      </w:r>
      <w:r w:rsidR="00BB7E4B">
        <w:rPr>
          <w:rFonts w:ascii="Times New Roman" w:hAnsi="Times New Roman" w:cs="Times New Roman"/>
        </w:rPr>
        <w:t>7</w:t>
      </w:r>
      <w:r w:rsidRPr="00C64192">
        <w:rPr>
          <w:rFonts w:ascii="Times New Roman" w:hAnsi="Times New Roman" w:cs="Times New Roman"/>
        </w:rPr>
        <w:t>%), indicando a retomada parcial do fluxo entre DRS, embora ainda abaixo do nível observado antes da pandemia. Esse padrão pode refletir mudanças nos encaminhamentos ou ajustes na organização regional da rede de saúde.</w:t>
      </w:r>
    </w:p>
    <w:tbl>
      <w:tblPr>
        <w:tblStyle w:val="PlainTable1"/>
        <w:tblW w:w="0" w:type="auto"/>
        <w:tblLook w:val="04A0" w:firstRow="1" w:lastRow="0" w:firstColumn="1" w:lastColumn="0" w:noHBand="0" w:noVBand="1"/>
      </w:tblPr>
      <w:tblGrid>
        <w:gridCol w:w="2123"/>
        <w:gridCol w:w="2123"/>
        <w:gridCol w:w="2124"/>
        <w:gridCol w:w="2124"/>
      </w:tblGrid>
      <w:tr w:rsidR="00BC5696" w:rsidRPr="00AE1769" w14:paraId="416195A6" w14:textId="77777777" w:rsidTr="00AE17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5636B2A4" w14:textId="2BF253DB" w:rsidR="00BC5696" w:rsidRPr="00AE1769" w:rsidRDefault="00BC5696">
            <w:pPr>
              <w:rPr>
                <w:rFonts w:ascii="Times New Roman" w:hAnsi="Times New Roman" w:cs="Times New Roman"/>
              </w:rPr>
            </w:pPr>
            <w:r w:rsidRPr="00AE1769">
              <w:rPr>
                <w:rFonts w:ascii="Times New Roman" w:hAnsi="Times New Roman" w:cs="Times New Roman"/>
              </w:rPr>
              <w:t>Período</w:t>
            </w:r>
          </w:p>
        </w:tc>
        <w:tc>
          <w:tcPr>
            <w:tcW w:w="2123" w:type="dxa"/>
          </w:tcPr>
          <w:p w14:paraId="0B70164C" w14:textId="47A1941D" w:rsidR="00BC5696" w:rsidRPr="00AE1769" w:rsidRDefault="00BC569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E1769">
              <w:rPr>
                <w:rFonts w:ascii="Times New Roman" w:hAnsi="Times New Roman" w:cs="Times New Roman"/>
              </w:rPr>
              <w:t>Total de Internações</w:t>
            </w:r>
          </w:p>
        </w:tc>
        <w:tc>
          <w:tcPr>
            <w:tcW w:w="2124" w:type="dxa"/>
          </w:tcPr>
          <w:p w14:paraId="6614177B" w14:textId="2B000368" w:rsidR="00BC5696" w:rsidRPr="00AE1769" w:rsidRDefault="00BC569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E1769">
              <w:rPr>
                <w:rFonts w:ascii="Times New Roman" w:hAnsi="Times New Roman" w:cs="Times New Roman"/>
              </w:rPr>
              <w:t>Deslocamento Entre DRS</w:t>
            </w:r>
          </w:p>
        </w:tc>
        <w:tc>
          <w:tcPr>
            <w:tcW w:w="2124" w:type="dxa"/>
          </w:tcPr>
          <w:p w14:paraId="2BD5BA87" w14:textId="21D4BAAD" w:rsidR="00BC5696" w:rsidRPr="00AE1769" w:rsidRDefault="00BC569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E1769">
              <w:rPr>
                <w:rFonts w:ascii="Times New Roman" w:hAnsi="Times New Roman" w:cs="Times New Roman"/>
              </w:rPr>
              <w:t>Taxa %</w:t>
            </w:r>
          </w:p>
        </w:tc>
      </w:tr>
      <w:tr w:rsidR="00BC5696" w:rsidRPr="00AE1769" w14:paraId="5F0D4FC0" w14:textId="77777777" w:rsidTr="00AE1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57B6DB84" w14:textId="6DC04128" w:rsidR="00BC5696" w:rsidRPr="00AE1769" w:rsidRDefault="00BC5696">
            <w:pPr>
              <w:rPr>
                <w:rFonts w:ascii="Times New Roman" w:hAnsi="Times New Roman" w:cs="Times New Roman"/>
              </w:rPr>
            </w:pPr>
            <w:proofErr w:type="spellStart"/>
            <w:r w:rsidRPr="00AE1769">
              <w:rPr>
                <w:rFonts w:ascii="Times New Roman" w:hAnsi="Times New Roman" w:cs="Times New Roman"/>
              </w:rPr>
              <w:t>Pré</w:t>
            </w:r>
            <w:proofErr w:type="spellEnd"/>
            <w:r w:rsidRPr="00AE1769">
              <w:rPr>
                <w:rFonts w:ascii="Times New Roman" w:hAnsi="Times New Roman" w:cs="Times New Roman"/>
              </w:rPr>
              <w:t>-Pandemia</w:t>
            </w:r>
          </w:p>
        </w:tc>
        <w:tc>
          <w:tcPr>
            <w:tcW w:w="2123" w:type="dxa"/>
          </w:tcPr>
          <w:p w14:paraId="1D104B78" w14:textId="274D5293" w:rsidR="00BC5696" w:rsidRPr="00AE1769" w:rsidRDefault="00BB7E4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B7E4B">
              <w:rPr>
                <w:rFonts w:ascii="Times New Roman" w:hAnsi="Times New Roman" w:cs="Times New Roman"/>
              </w:rPr>
              <w:t>543</w:t>
            </w:r>
            <w:r>
              <w:rPr>
                <w:rFonts w:ascii="Times New Roman" w:hAnsi="Times New Roman" w:cs="Times New Roman"/>
              </w:rPr>
              <w:t>.</w:t>
            </w:r>
            <w:r w:rsidRPr="00BB7E4B">
              <w:rPr>
                <w:rFonts w:ascii="Times New Roman" w:hAnsi="Times New Roman" w:cs="Times New Roman"/>
              </w:rPr>
              <w:t>275</w:t>
            </w:r>
          </w:p>
        </w:tc>
        <w:tc>
          <w:tcPr>
            <w:tcW w:w="2124" w:type="dxa"/>
          </w:tcPr>
          <w:p w14:paraId="152BFF62" w14:textId="5D3057BF" w:rsidR="00BC5696" w:rsidRPr="00AE1769" w:rsidRDefault="00BC56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1769">
              <w:rPr>
                <w:rFonts w:ascii="Times New Roman" w:hAnsi="Times New Roman" w:cs="Times New Roman"/>
              </w:rPr>
              <w:t>44.</w:t>
            </w:r>
            <w:r w:rsidR="00BB7E4B">
              <w:rPr>
                <w:rFonts w:ascii="Times New Roman" w:hAnsi="Times New Roman" w:cs="Times New Roman"/>
              </w:rPr>
              <w:t>611</w:t>
            </w:r>
          </w:p>
        </w:tc>
        <w:tc>
          <w:tcPr>
            <w:tcW w:w="2124" w:type="dxa"/>
          </w:tcPr>
          <w:p w14:paraId="53F0FC56" w14:textId="137EBD6A" w:rsidR="00BC5696" w:rsidRPr="00AE1769" w:rsidRDefault="00BC56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1769">
              <w:rPr>
                <w:rFonts w:ascii="Times New Roman" w:hAnsi="Times New Roman" w:cs="Times New Roman"/>
              </w:rPr>
              <w:t>8,</w:t>
            </w:r>
            <w:r w:rsidR="00BB7E4B">
              <w:rPr>
                <w:rFonts w:ascii="Times New Roman" w:hAnsi="Times New Roman" w:cs="Times New Roman"/>
              </w:rPr>
              <w:t>21</w:t>
            </w:r>
            <w:r w:rsidRPr="00AE1769">
              <w:rPr>
                <w:rFonts w:ascii="Times New Roman" w:hAnsi="Times New Roman" w:cs="Times New Roman"/>
              </w:rPr>
              <w:t>%</w:t>
            </w:r>
          </w:p>
        </w:tc>
      </w:tr>
      <w:tr w:rsidR="00BC5696" w:rsidRPr="00AE1769" w14:paraId="4B274C1E" w14:textId="77777777" w:rsidTr="00AE1769">
        <w:tc>
          <w:tcPr>
            <w:cnfStyle w:val="001000000000" w:firstRow="0" w:lastRow="0" w:firstColumn="1" w:lastColumn="0" w:oddVBand="0" w:evenVBand="0" w:oddHBand="0" w:evenHBand="0" w:firstRowFirstColumn="0" w:firstRowLastColumn="0" w:lastRowFirstColumn="0" w:lastRowLastColumn="0"/>
            <w:tcW w:w="2123" w:type="dxa"/>
          </w:tcPr>
          <w:p w14:paraId="1CB950CB" w14:textId="442AFEE3" w:rsidR="00BC5696" w:rsidRPr="00AE1769" w:rsidRDefault="00BC5696">
            <w:pPr>
              <w:rPr>
                <w:rFonts w:ascii="Times New Roman" w:hAnsi="Times New Roman" w:cs="Times New Roman"/>
              </w:rPr>
            </w:pPr>
            <w:r w:rsidRPr="00AE1769">
              <w:rPr>
                <w:rFonts w:ascii="Times New Roman" w:hAnsi="Times New Roman" w:cs="Times New Roman"/>
              </w:rPr>
              <w:t>Pandemia</w:t>
            </w:r>
          </w:p>
        </w:tc>
        <w:tc>
          <w:tcPr>
            <w:tcW w:w="2123" w:type="dxa"/>
          </w:tcPr>
          <w:p w14:paraId="0C5D3FA2" w14:textId="58BBDA3E" w:rsidR="00BC5696" w:rsidRPr="00AE1769" w:rsidRDefault="00BB7E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B7E4B">
              <w:rPr>
                <w:rFonts w:ascii="Times New Roman" w:hAnsi="Times New Roman" w:cs="Times New Roman"/>
              </w:rPr>
              <w:t>238</w:t>
            </w:r>
            <w:r>
              <w:rPr>
                <w:rFonts w:ascii="Times New Roman" w:hAnsi="Times New Roman" w:cs="Times New Roman"/>
              </w:rPr>
              <w:t>.</w:t>
            </w:r>
            <w:r w:rsidRPr="00BB7E4B">
              <w:rPr>
                <w:rFonts w:ascii="Times New Roman" w:hAnsi="Times New Roman" w:cs="Times New Roman"/>
              </w:rPr>
              <w:t>644</w:t>
            </w:r>
          </w:p>
        </w:tc>
        <w:tc>
          <w:tcPr>
            <w:tcW w:w="2124" w:type="dxa"/>
          </w:tcPr>
          <w:p w14:paraId="705EF30E" w14:textId="58FDAF55" w:rsidR="00BC5696" w:rsidRPr="00AE1769" w:rsidRDefault="00BC56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E1769">
              <w:rPr>
                <w:rFonts w:ascii="Times New Roman" w:hAnsi="Times New Roman" w:cs="Times New Roman"/>
              </w:rPr>
              <w:t>13.</w:t>
            </w:r>
            <w:r w:rsidR="00BB7E4B">
              <w:rPr>
                <w:rFonts w:ascii="Times New Roman" w:hAnsi="Times New Roman" w:cs="Times New Roman"/>
              </w:rPr>
              <w:t>691</w:t>
            </w:r>
          </w:p>
        </w:tc>
        <w:tc>
          <w:tcPr>
            <w:tcW w:w="2124" w:type="dxa"/>
          </w:tcPr>
          <w:p w14:paraId="059F4BB0" w14:textId="17FFE13A" w:rsidR="00BC5696" w:rsidRPr="00AE1769" w:rsidRDefault="00BC56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E1769">
              <w:rPr>
                <w:rFonts w:ascii="Times New Roman" w:hAnsi="Times New Roman" w:cs="Times New Roman"/>
              </w:rPr>
              <w:t>5,7</w:t>
            </w:r>
            <w:r w:rsidR="00BB7E4B">
              <w:rPr>
                <w:rFonts w:ascii="Times New Roman" w:hAnsi="Times New Roman" w:cs="Times New Roman"/>
              </w:rPr>
              <w:t>4</w:t>
            </w:r>
            <w:r w:rsidRPr="00AE1769">
              <w:rPr>
                <w:rFonts w:ascii="Times New Roman" w:hAnsi="Times New Roman" w:cs="Times New Roman"/>
              </w:rPr>
              <w:t>%</w:t>
            </w:r>
          </w:p>
        </w:tc>
      </w:tr>
      <w:tr w:rsidR="00BC5696" w:rsidRPr="00AE1769" w14:paraId="7DC724FE" w14:textId="77777777" w:rsidTr="00AE1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3DA0090B" w14:textId="4851B69E" w:rsidR="00BC5696" w:rsidRPr="00AE1769" w:rsidRDefault="00BC5696">
            <w:pPr>
              <w:rPr>
                <w:rFonts w:ascii="Times New Roman" w:hAnsi="Times New Roman" w:cs="Times New Roman"/>
              </w:rPr>
            </w:pPr>
            <w:r w:rsidRPr="00AE1769">
              <w:rPr>
                <w:rFonts w:ascii="Times New Roman" w:hAnsi="Times New Roman" w:cs="Times New Roman"/>
              </w:rPr>
              <w:t>Pós-Pandemia</w:t>
            </w:r>
          </w:p>
        </w:tc>
        <w:tc>
          <w:tcPr>
            <w:tcW w:w="2123" w:type="dxa"/>
          </w:tcPr>
          <w:p w14:paraId="3F87C549" w14:textId="109900AE" w:rsidR="00BC5696" w:rsidRPr="00AE1769" w:rsidRDefault="00BB7E4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B7E4B">
              <w:rPr>
                <w:rFonts w:ascii="Times New Roman" w:hAnsi="Times New Roman" w:cs="Times New Roman"/>
              </w:rPr>
              <w:t>280</w:t>
            </w:r>
            <w:r>
              <w:rPr>
                <w:rFonts w:ascii="Times New Roman" w:hAnsi="Times New Roman" w:cs="Times New Roman"/>
              </w:rPr>
              <w:t>.</w:t>
            </w:r>
            <w:r w:rsidRPr="00BB7E4B">
              <w:rPr>
                <w:rFonts w:ascii="Times New Roman" w:hAnsi="Times New Roman" w:cs="Times New Roman"/>
              </w:rPr>
              <w:t>079</w:t>
            </w:r>
          </w:p>
        </w:tc>
        <w:tc>
          <w:tcPr>
            <w:tcW w:w="2124" w:type="dxa"/>
          </w:tcPr>
          <w:p w14:paraId="56A856A3" w14:textId="140C470D" w:rsidR="00BC5696" w:rsidRPr="00AE1769" w:rsidRDefault="00BC56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1769">
              <w:rPr>
                <w:rFonts w:ascii="Times New Roman" w:hAnsi="Times New Roman" w:cs="Times New Roman"/>
              </w:rPr>
              <w:t>19.</w:t>
            </w:r>
            <w:r w:rsidR="00BB7E4B">
              <w:rPr>
                <w:rFonts w:ascii="Times New Roman" w:hAnsi="Times New Roman" w:cs="Times New Roman"/>
              </w:rPr>
              <w:t>522</w:t>
            </w:r>
          </w:p>
        </w:tc>
        <w:tc>
          <w:tcPr>
            <w:tcW w:w="2124" w:type="dxa"/>
          </w:tcPr>
          <w:p w14:paraId="1310923F" w14:textId="410B5DA5" w:rsidR="00BC5696" w:rsidRPr="00AE1769" w:rsidRDefault="00BC56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1769">
              <w:rPr>
                <w:rFonts w:ascii="Times New Roman" w:hAnsi="Times New Roman" w:cs="Times New Roman"/>
              </w:rPr>
              <w:t>6,9</w:t>
            </w:r>
            <w:r w:rsidR="00BB7E4B">
              <w:rPr>
                <w:rFonts w:ascii="Times New Roman" w:hAnsi="Times New Roman" w:cs="Times New Roman"/>
              </w:rPr>
              <w:t>7</w:t>
            </w:r>
            <w:r w:rsidRPr="00AE1769">
              <w:rPr>
                <w:rFonts w:ascii="Times New Roman" w:hAnsi="Times New Roman" w:cs="Times New Roman"/>
              </w:rPr>
              <w:t>%</w:t>
            </w:r>
          </w:p>
        </w:tc>
      </w:tr>
    </w:tbl>
    <w:p w14:paraId="46E679A5" w14:textId="77777777" w:rsidR="00BC5696" w:rsidRDefault="00BC5696">
      <w:pPr>
        <w:rPr>
          <w:rFonts w:ascii="Times New Roman" w:hAnsi="Times New Roman" w:cs="Times New Roman"/>
        </w:rPr>
      </w:pPr>
    </w:p>
    <w:p w14:paraId="0EF98F67" w14:textId="47A1FFF4" w:rsidR="00917E03" w:rsidRPr="00AE1769" w:rsidRDefault="00BB7E4B" w:rsidP="00917E03">
      <w:pPr>
        <w:jc w:val="center"/>
        <w:rPr>
          <w:rFonts w:ascii="Times New Roman" w:hAnsi="Times New Roman" w:cs="Times New Roman"/>
        </w:rPr>
      </w:pPr>
      <w:r>
        <w:rPr>
          <w:noProof/>
        </w:rPr>
        <w:drawing>
          <wp:inline distT="0" distB="0" distL="0" distR="0" wp14:anchorId="716C4167" wp14:editId="78F8B737">
            <wp:extent cx="4191000" cy="2371483"/>
            <wp:effectExtent l="0" t="0" r="0" b="0"/>
            <wp:docPr id="2821751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02844" cy="2378185"/>
                    </a:xfrm>
                    <a:prstGeom prst="rect">
                      <a:avLst/>
                    </a:prstGeom>
                    <a:noFill/>
                    <a:ln>
                      <a:noFill/>
                    </a:ln>
                  </pic:spPr>
                </pic:pic>
              </a:graphicData>
            </a:graphic>
          </wp:inline>
        </w:drawing>
      </w:r>
    </w:p>
    <w:p w14:paraId="4A65E8AC" w14:textId="29538FD8" w:rsidR="00BC5696" w:rsidRPr="00AE1769" w:rsidRDefault="00BC5696">
      <w:pPr>
        <w:rPr>
          <w:rFonts w:ascii="Times New Roman" w:hAnsi="Times New Roman" w:cs="Times New Roman"/>
          <w:b/>
          <w:bCs/>
        </w:rPr>
      </w:pPr>
      <w:r w:rsidRPr="00AE1769">
        <w:rPr>
          <w:rFonts w:ascii="Times New Roman" w:hAnsi="Times New Roman" w:cs="Times New Roman"/>
          <w:b/>
          <w:bCs/>
        </w:rPr>
        <w:t>c. Ranking de Evasão Por DRS</w:t>
      </w:r>
    </w:p>
    <w:p w14:paraId="4F2C6C26" w14:textId="5B6CCAF2" w:rsidR="00BB7E4B" w:rsidRDefault="007C4B94" w:rsidP="00AE1769">
      <w:pPr>
        <w:ind w:firstLine="708"/>
        <w:rPr>
          <w:rFonts w:ascii="Times New Roman" w:hAnsi="Times New Roman" w:cs="Times New Roman"/>
        </w:rPr>
      </w:pPr>
      <w:r>
        <w:rPr>
          <w:rFonts w:ascii="Times New Roman" w:hAnsi="Times New Roman" w:cs="Times New Roman"/>
        </w:rPr>
        <w:t xml:space="preserve">O </w:t>
      </w:r>
      <w:proofErr w:type="spellStart"/>
      <w:r w:rsidRPr="007C4B94">
        <w:rPr>
          <w:rFonts w:ascii="Times New Roman" w:hAnsi="Times New Roman" w:cs="Times New Roman"/>
          <w:i/>
          <w:iCs/>
        </w:rPr>
        <w:t>heatmap</w:t>
      </w:r>
      <w:proofErr w:type="spellEnd"/>
      <w:r w:rsidRPr="007C4B94">
        <w:rPr>
          <w:rFonts w:ascii="Times New Roman" w:hAnsi="Times New Roman" w:cs="Times New Roman"/>
        </w:rPr>
        <w:t xml:space="preserve"> mostra a taxa de evasão por DRS de residência em cada período, ordenada pelo </w:t>
      </w:r>
      <w:proofErr w:type="spellStart"/>
      <w:r w:rsidRPr="007C4B94">
        <w:rPr>
          <w:rFonts w:ascii="Times New Roman" w:hAnsi="Times New Roman" w:cs="Times New Roman"/>
        </w:rPr>
        <w:t>Pré</w:t>
      </w:r>
      <w:proofErr w:type="spellEnd"/>
      <w:r w:rsidRPr="007C4B94">
        <w:rPr>
          <w:rFonts w:ascii="Times New Roman" w:hAnsi="Times New Roman" w:cs="Times New Roman"/>
        </w:rPr>
        <w:t xml:space="preserve">-Pandemia. Valores mais altos indicam maior dependência de atendimento fora do município. A </w:t>
      </w:r>
      <w:r w:rsidRPr="007C4B94">
        <w:rPr>
          <w:rFonts w:ascii="Times New Roman" w:hAnsi="Times New Roman" w:cs="Times New Roman"/>
          <w:b/>
          <w:bCs/>
        </w:rPr>
        <w:t>DRS Registro</w:t>
      </w:r>
      <w:r w:rsidRPr="007C4B94">
        <w:rPr>
          <w:rFonts w:ascii="Times New Roman" w:hAnsi="Times New Roman" w:cs="Times New Roman"/>
        </w:rPr>
        <w:t xml:space="preserve"> se destaca como a mais vulnerável no </w:t>
      </w:r>
      <w:proofErr w:type="spellStart"/>
      <w:r w:rsidRPr="007C4B94">
        <w:rPr>
          <w:rFonts w:ascii="Times New Roman" w:hAnsi="Times New Roman" w:cs="Times New Roman"/>
        </w:rPr>
        <w:t>Pré</w:t>
      </w:r>
      <w:proofErr w:type="spellEnd"/>
      <w:r w:rsidRPr="007C4B94">
        <w:rPr>
          <w:rFonts w:ascii="Times New Roman" w:hAnsi="Times New Roman" w:cs="Times New Roman"/>
        </w:rPr>
        <w:t xml:space="preserve">-Pandemia (72,3%), confirmando a fragilidade histórica da rede de saúde mental no Vale do Ribeira. Curiosamente, essa DRS apresentou a maior redução relativa na evasão ao longo do tempo, possivelmente devido à ampliação da capacidade local ou mudanças no perfil de encaminhamentos. A </w:t>
      </w:r>
      <w:r w:rsidRPr="007C4B94">
        <w:rPr>
          <w:rFonts w:ascii="Times New Roman" w:hAnsi="Times New Roman" w:cs="Times New Roman"/>
          <w:b/>
          <w:bCs/>
        </w:rPr>
        <w:t>DRS Taubaté</w:t>
      </w:r>
      <w:r w:rsidRPr="007C4B94">
        <w:rPr>
          <w:rFonts w:ascii="Times New Roman" w:hAnsi="Times New Roman" w:cs="Times New Roman"/>
        </w:rPr>
        <w:t xml:space="preserve"> manteve evasão alta e estável (~30%), mostrando uma dependência estrutural persistente. Já a </w:t>
      </w:r>
      <w:r w:rsidRPr="007C4B94">
        <w:rPr>
          <w:rFonts w:ascii="Times New Roman" w:hAnsi="Times New Roman" w:cs="Times New Roman"/>
          <w:b/>
          <w:bCs/>
        </w:rPr>
        <w:t>DRS Baixada Santista</w:t>
      </w:r>
      <w:r w:rsidRPr="007C4B94">
        <w:rPr>
          <w:rFonts w:ascii="Times New Roman" w:hAnsi="Times New Roman" w:cs="Times New Roman"/>
        </w:rPr>
        <w:t xml:space="preserve"> teve queda expressiva após o </w:t>
      </w:r>
      <w:proofErr w:type="spellStart"/>
      <w:r w:rsidRPr="007C4B94">
        <w:rPr>
          <w:rFonts w:ascii="Times New Roman" w:hAnsi="Times New Roman" w:cs="Times New Roman"/>
        </w:rPr>
        <w:t>Pré</w:t>
      </w:r>
      <w:proofErr w:type="spellEnd"/>
      <w:r w:rsidRPr="007C4B94">
        <w:rPr>
          <w:rFonts w:ascii="Times New Roman" w:hAnsi="Times New Roman" w:cs="Times New Roman"/>
        </w:rPr>
        <w:t xml:space="preserve">-Pandemia, possivelmente refletindo maior oferta local. O </w:t>
      </w:r>
      <w:proofErr w:type="spellStart"/>
      <w:r w:rsidRPr="007C4B94">
        <w:rPr>
          <w:rFonts w:ascii="Times New Roman" w:hAnsi="Times New Roman" w:cs="Times New Roman"/>
          <w:i/>
          <w:iCs/>
        </w:rPr>
        <w:t>heatmap</w:t>
      </w:r>
      <w:proofErr w:type="spellEnd"/>
      <w:r w:rsidRPr="007C4B94">
        <w:rPr>
          <w:rFonts w:ascii="Times New Roman" w:hAnsi="Times New Roman" w:cs="Times New Roman"/>
        </w:rPr>
        <w:t xml:space="preserve"> facilita visualizar que a maioria das DRS melhorou suas taxas de evasão depois da pandemia, com exceção de Taubaté.</w:t>
      </w:r>
    </w:p>
    <w:p w14:paraId="4E447E70" w14:textId="77777777" w:rsidR="00BC5696" w:rsidRDefault="00BC5696">
      <w:pPr>
        <w:rPr>
          <w:rFonts w:ascii="Times New Roman" w:hAnsi="Times New Roman" w:cs="Times New Roman"/>
        </w:rPr>
      </w:pPr>
    </w:p>
    <w:p w14:paraId="6DF43EA9" w14:textId="538AB88C" w:rsidR="00917E03" w:rsidRPr="00AE1769" w:rsidRDefault="0098015A" w:rsidP="0098015A">
      <w:pPr>
        <w:jc w:val="center"/>
        <w:rPr>
          <w:rFonts w:ascii="Times New Roman" w:hAnsi="Times New Roman" w:cs="Times New Roman"/>
        </w:rPr>
      </w:pPr>
      <w:r>
        <w:rPr>
          <w:noProof/>
        </w:rPr>
        <w:lastRenderedPageBreak/>
        <w:drawing>
          <wp:inline distT="0" distB="0" distL="0" distR="0" wp14:anchorId="08D29460" wp14:editId="465A3550">
            <wp:extent cx="3855720" cy="3704284"/>
            <wp:effectExtent l="0" t="0" r="0" b="0"/>
            <wp:docPr id="10954785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60898" cy="3709258"/>
                    </a:xfrm>
                    <a:prstGeom prst="rect">
                      <a:avLst/>
                    </a:prstGeom>
                    <a:noFill/>
                    <a:ln>
                      <a:noFill/>
                    </a:ln>
                  </pic:spPr>
                </pic:pic>
              </a:graphicData>
            </a:graphic>
          </wp:inline>
        </w:drawing>
      </w:r>
    </w:p>
    <w:p w14:paraId="49D2F7DE" w14:textId="77777777" w:rsidR="00C64192" w:rsidRDefault="00C64192">
      <w:pPr>
        <w:rPr>
          <w:rFonts w:ascii="Times New Roman" w:hAnsi="Times New Roman" w:cs="Times New Roman"/>
          <w:b/>
          <w:bCs/>
        </w:rPr>
      </w:pPr>
    </w:p>
    <w:p w14:paraId="5ABF9FF6" w14:textId="4E87C665" w:rsidR="00AE1769" w:rsidRPr="00AE1769" w:rsidRDefault="00555770">
      <w:pPr>
        <w:rPr>
          <w:rFonts w:ascii="Times New Roman" w:hAnsi="Times New Roman" w:cs="Times New Roman"/>
          <w:b/>
          <w:bCs/>
        </w:rPr>
      </w:pPr>
      <w:r w:rsidRPr="00AE1769">
        <w:rPr>
          <w:rFonts w:ascii="Times New Roman" w:hAnsi="Times New Roman" w:cs="Times New Roman"/>
          <w:b/>
          <w:bCs/>
        </w:rPr>
        <w:t>3. Fluxo Origem-Destino</w:t>
      </w:r>
    </w:p>
    <w:p w14:paraId="05D27FA9" w14:textId="7D982B9C" w:rsidR="00BC5696" w:rsidRPr="00AE1769" w:rsidRDefault="00AE1769">
      <w:pPr>
        <w:rPr>
          <w:rFonts w:ascii="Times New Roman" w:hAnsi="Times New Roman" w:cs="Times New Roman"/>
          <w:b/>
          <w:bCs/>
        </w:rPr>
      </w:pPr>
      <w:r w:rsidRPr="00AE1769">
        <w:rPr>
          <w:rFonts w:ascii="Times New Roman" w:hAnsi="Times New Roman" w:cs="Times New Roman"/>
          <w:b/>
          <w:bCs/>
        </w:rPr>
        <w:t>a. Principais Fluxos Municipais</w:t>
      </w:r>
    </w:p>
    <w:p w14:paraId="23F1BE86" w14:textId="26449AA3" w:rsidR="0098015A" w:rsidRPr="00AE1769" w:rsidRDefault="007C4B94" w:rsidP="00AE1769">
      <w:pPr>
        <w:ind w:firstLine="708"/>
        <w:rPr>
          <w:rFonts w:ascii="Times New Roman" w:hAnsi="Times New Roman" w:cs="Times New Roman"/>
        </w:rPr>
      </w:pPr>
      <w:r w:rsidRPr="007C4B94">
        <w:rPr>
          <w:rFonts w:ascii="Times New Roman" w:hAnsi="Times New Roman" w:cs="Times New Roman"/>
        </w:rPr>
        <w:t xml:space="preserve">O fluxo de pacientes entre </w:t>
      </w:r>
      <w:r w:rsidRPr="007C4B94">
        <w:rPr>
          <w:rFonts w:ascii="Times New Roman" w:hAnsi="Times New Roman" w:cs="Times New Roman"/>
          <w:b/>
          <w:bCs/>
        </w:rPr>
        <w:t>São Paulo (355030)</w:t>
      </w:r>
      <w:r w:rsidRPr="007C4B94">
        <w:rPr>
          <w:rFonts w:ascii="Times New Roman" w:hAnsi="Times New Roman" w:cs="Times New Roman"/>
        </w:rPr>
        <w:t xml:space="preserve"> e </w:t>
      </w:r>
      <w:r w:rsidRPr="007C4B94">
        <w:rPr>
          <w:rFonts w:ascii="Times New Roman" w:hAnsi="Times New Roman" w:cs="Times New Roman"/>
          <w:b/>
          <w:bCs/>
        </w:rPr>
        <w:t>Itapira (352260)</w:t>
      </w:r>
      <w:r w:rsidRPr="007C4B94">
        <w:rPr>
          <w:rFonts w:ascii="Times New Roman" w:hAnsi="Times New Roman" w:cs="Times New Roman"/>
        </w:rPr>
        <w:t xml:space="preserve"> é o maior da rede, com </w:t>
      </w:r>
      <w:r w:rsidRPr="007C4B94">
        <w:rPr>
          <w:rFonts w:ascii="Times New Roman" w:hAnsi="Times New Roman" w:cs="Times New Roman"/>
          <w:b/>
          <w:bCs/>
        </w:rPr>
        <w:t>17.146 internações</w:t>
      </w:r>
      <w:r w:rsidRPr="007C4B94">
        <w:rPr>
          <w:rFonts w:ascii="Times New Roman" w:hAnsi="Times New Roman" w:cs="Times New Roman"/>
        </w:rPr>
        <w:t xml:space="preserve">, mais que o dobro do segundo maior fluxo. Itapira aparece como destino em pelo menos quatro dos dez maiores fluxos, indicando que é um dos principais polos de internação psiquiátrica do estado. Já </w:t>
      </w:r>
      <w:r w:rsidRPr="007C4B94">
        <w:rPr>
          <w:rFonts w:ascii="Times New Roman" w:hAnsi="Times New Roman" w:cs="Times New Roman"/>
          <w:b/>
          <w:bCs/>
        </w:rPr>
        <w:t>São João da Boa Vista (354910)</w:t>
      </w:r>
      <w:r w:rsidRPr="007C4B94">
        <w:rPr>
          <w:rFonts w:ascii="Times New Roman" w:hAnsi="Times New Roman" w:cs="Times New Roman"/>
        </w:rPr>
        <w:t xml:space="preserve"> aparece duas vezes como origem, enviando pacientes para Espírito Santo do Pinhal e Itapira, mostrando que depende de mais de um polo para atendimento. Esse padrão revela uma rede concentrada em alguns polos: embora organize o atendimento regional, qualquer redução na capacidade desses municípios pode afetar diversos outros que dependem deles.</w:t>
      </w:r>
    </w:p>
    <w:p w14:paraId="1EFB0122" w14:textId="6C77CB71" w:rsidR="00AE1769" w:rsidRDefault="00AE1769">
      <w:pPr>
        <w:rPr>
          <w:rFonts w:ascii="Times New Roman" w:hAnsi="Times New Roman" w:cs="Times New Roman"/>
          <w:b/>
          <w:bCs/>
        </w:rPr>
      </w:pPr>
      <w:r w:rsidRPr="00AE1769">
        <w:rPr>
          <w:rFonts w:ascii="Times New Roman" w:hAnsi="Times New Roman" w:cs="Times New Roman"/>
          <w:b/>
          <w:bCs/>
        </w:rPr>
        <w:t>b. Diagrama de Fluxo: Top Destinos Por Emissor</w:t>
      </w:r>
    </w:p>
    <w:p w14:paraId="4B404181" w14:textId="38E68759" w:rsidR="0098015A" w:rsidRDefault="0098015A">
      <w:pPr>
        <w:rPr>
          <w:rFonts w:ascii="Times New Roman" w:hAnsi="Times New Roman" w:cs="Times New Roman"/>
          <w:b/>
          <w:bCs/>
        </w:rPr>
      </w:pPr>
      <w:r>
        <w:rPr>
          <w:noProof/>
        </w:rPr>
        <w:drawing>
          <wp:inline distT="0" distB="0" distL="0" distR="0" wp14:anchorId="06CBDD31" wp14:editId="411E66CA">
            <wp:extent cx="5400040" cy="1902460"/>
            <wp:effectExtent l="0" t="0" r="0" b="2540"/>
            <wp:docPr id="17570799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1902460"/>
                    </a:xfrm>
                    <a:prstGeom prst="rect">
                      <a:avLst/>
                    </a:prstGeom>
                    <a:noFill/>
                    <a:ln>
                      <a:noFill/>
                    </a:ln>
                  </pic:spPr>
                </pic:pic>
              </a:graphicData>
            </a:graphic>
          </wp:inline>
        </w:drawing>
      </w:r>
    </w:p>
    <w:p w14:paraId="0BF1A22A" w14:textId="77777777" w:rsidR="007C4B94" w:rsidRPr="007C4B94" w:rsidRDefault="007C4B94" w:rsidP="007C4B94">
      <w:pPr>
        <w:ind w:firstLine="708"/>
        <w:rPr>
          <w:rFonts w:ascii="Times New Roman" w:hAnsi="Times New Roman" w:cs="Times New Roman"/>
        </w:rPr>
      </w:pPr>
      <w:r w:rsidRPr="007C4B94">
        <w:rPr>
          <w:rFonts w:ascii="Times New Roman" w:hAnsi="Times New Roman" w:cs="Times New Roman"/>
        </w:rPr>
        <w:lastRenderedPageBreak/>
        <w:t>Para os cinco municípios que mais enviam pacientes, foram analisados os cinco principais destinos de internação de cada um, para verificar se os encaminhamentos são concentrados ou distribuídos. O diagrama de fluxo mostra que a maioria desses municípios concentra os envios em apenas um ou dois destinos principais, enquanto os demais recebem volumes bem menores. Isso indica que os pacientes tendem a ser encaminhados repetidamente para os mesmos hospitais de referência, provavelmente devido a acordos de regulação ou à proximidade geográfica.</w:t>
      </w:r>
    </w:p>
    <w:p w14:paraId="4FE6D37D" w14:textId="77777777" w:rsidR="007C4B94" w:rsidRPr="007C4B94" w:rsidRDefault="007C4B94" w:rsidP="007C4B94">
      <w:pPr>
        <w:ind w:firstLine="708"/>
        <w:rPr>
          <w:rFonts w:ascii="Times New Roman" w:hAnsi="Times New Roman" w:cs="Times New Roman"/>
        </w:rPr>
      </w:pPr>
      <w:r w:rsidRPr="007C4B94">
        <w:rPr>
          <w:rFonts w:ascii="Times New Roman" w:hAnsi="Times New Roman" w:cs="Times New Roman"/>
        </w:rPr>
        <w:t>A diversidade de destinos é pequena, o que reduz a resiliência do sistema. Caso o principal município receptor tenha capacidade limitada, os municípios de origem terão poucas alternativas de encaminhamento. Essa concentração também pode comprometer a equidade no acesso, pois municípios que dependem de poucos polos podem enfrentar maiores dificuldades em períodos de alta demanda.</w:t>
      </w:r>
    </w:p>
    <w:p w14:paraId="618E81BA" w14:textId="5B7A5E65" w:rsidR="00917E03" w:rsidRDefault="0098015A" w:rsidP="004E0308">
      <w:pPr>
        <w:rPr>
          <w:rFonts w:ascii="Times New Roman" w:hAnsi="Times New Roman" w:cs="Times New Roman"/>
        </w:rPr>
      </w:pPr>
      <w:r>
        <w:rPr>
          <w:noProof/>
        </w:rPr>
        <w:drawing>
          <wp:inline distT="0" distB="0" distL="0" distR="0" wp14:anchorId="0D385880" wp14:editId="15F2AAC8">
            <wp:extent cx="5400040" cy="1344295"/>
            <wp:effectExtent l="0" t="0" r="0" b="8255"/>
            <wp:docPr id="3018737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1344295"/>
                    </a:xfrm>
                    <a:prstGeom prst="rect">
                      <a:avLst/>
                    </a:prstGeom>
                    <a:noFill/>
                    <a:ln>
                      <a:noFill/>
                    </a:ln>
                  </pic:spPr>
                </pic:pic>
              </a:graphicData>
            </a:graphic>
          </wp:inline>
        </w:drawing>
      </w:r>
    </w:p>
    <w:p w14:paraId="4F549AB7" w14:textId="77777777" w:rsidR="00AE1769" w:rsidRPr="00AE1769" w:rsidRDefault="00AE1769" w:rsidP="00AE1769">
      <w:pPr>
        <w:ind w:firstLine="708"/>
        <w:rPr>
          <w:rFonts w:ascii="Times New Roman" w:hAnsi="Times New Roman" w:cs="Times New Roman"/>
        </w:rPr>
      </w:pPr>
    </w:p>
    <w:p w14:paraId="4DED96E2" w14:textId="754A61CE" w:rsidR="00555770" w:rsidRPr="00AE1769" w:rsidRDefault="00555770">
      <w:pPr>
        <w:rPr>
          <w:rFonts w:ascii="Times New Roman" w:hAnsi="Times New Roman" w:cs="Times New Roman"/>
          <w:b/>
          <w:bCs/>
        </w:rPr>
      </w:pPr>
      <w:r w:rsidRPr="00AE1769">
        <w:rPr>
          <w:rFonts w:ascii="Times New Roman" w:hAnsi="Times New Roman" w:cs="Times New Roman"/>
          <w:b/>
          <w:bCs/>
        </w:rPr>
        <w:t>4. Análise Espacial (Mapas)</w:t>
      </w:r>
    </w:p>
    <w:p w14:paraId="18B2B57B" w14:textId="77777777" w:rsidR="007C4B94" w:rsidRPr="007C4B94" w:rsidRDefault="007C4B94" w:rsidP="007C4B94">
      <w:pPr>
        <w:ind w:firstLine="708"/>
        <w:rPr>
          <w:rFonts w:ascii="Times New Roman" w:hAnsi="Times New Roman" w:cs="Times New Roman"/>
        </w:rPr>
      </w:pPr>
      <w:r w:rsidRPr="007C4B94">
        <w:rPr>
          <w:rFonts w:ascii="Times New Roman" w:hAnsi="Times New Roman" w:cs="Times New Roman"/>
        </w:rPr>
        <w:t xml:space="preserve">Os mapas foram produzidos com a geometria oficial dos municípios de São Paulo (IBGE 2020, via biblioteca </w:t>
      </w:r>
      <w:proofErr w:type="spellStart"/>
      <w:r w:rsidRPr="007C4B94">
        <w:rPr>
          <w:rFonts w:ascii="Times New Roman" w:hAnsi="Times New Roman" w:cs="Times New Roman"/>
        </w:rPr>
        <w:t>geobr</w:t>
      </w:r>
      <w:proofErr w:type="spellEnd"/>
      <w:r w:rsidRPr="007C4B94">
        <w:rPr>
          <w:rFonts w:ascii="Times New Roman" w:hAnsi="Times New Roman" w:cs="Times New Roman"/>
        </w:rPr>
        <w:t>), abrangendo os 645 municípios do estado. A escala logarítmica foi aplicada para reduzir o efeito de dominância da capital, que concentra um volume de internações muito superior à média estadual.</w:t>
      </w:r>
    </w:p>
    <w:p w14:paraId="6716B49A" w14:textId="2DBFFCEF" w:rsidR="00AE1769" w:rsidRPr="00AE1769" w:rsidRDefault="00AE1769">
      <w:pPr>
        <w:rPr>
          <w:rFonts w:ascii="Times New Roman" w:hAnsi="Times New Roman" w:cs="Times New Roman"/>
          <w:b/>
          <w:bCs/>
        </w:rPr>
      </w:pPr>
      <w:r w:rsidRPr="00AE1769">
        <w:rPr>
          <w:rFonts w:ascii="Times New Roman" w:hAnsi="Times New Roman" w:cs="Times New Roman"/>
          <w:b/>
          <w:bCs/>
        </w:rPr>
        <w:t>a. Concentração de Internações Por Município</w:t>
      </w:r>
    </w:p>
    <w:p w14:paraId="7EBDD544" w14:textId="27B68BE2" w:rsidR="000D5F58" w:rsidRPr="00AE1769" w:rsidRDefault="007C4B94" w:rsidP="00AE1769">
      <w:pPr>
        <w:ind w:firstLine="708"/>
        <w:rPr>
          <w:rFonts w:ascii="Times New Roman" w:hAnsi="Times New Roman" w:cs="Times New Roman"/>
        </w:rPr>
      </w:pPr>
      <w:r w:rsidRPr="007C4B94">
        <w:rPr>
          <w:rFonts w:ascii="Times New Roman" w:hAnsi="Times New Roman" w:cs="Times New Roman"/>
        </w:rPr>
        <w:t xml:space="preserve">Os mapas de internações em saúde mental no estado de São Paulo mostram uma distribuição geográfica bastante desigual. Na escala linear, percebe-se que poucos municípios concentram volumes muito altos de internações, enquanto a maioria apresenta registros mínimos. A escala logarítmica revela que a cobertura é mais ampla do que aparenta, mas confirma que o eixo São Paulo–Campinas–Santos concentra os valores mais elevados. Essa concentração reflete tanto a localização dos hospitais psiquiátricos quanto o tamanho populacional das grandes cidades, evidenciando um desafio de acesso: municípios do interior e do oeste do estado podem ter serviços </w:t>
      </w:r>
      <w:r w:rsidRPr="007C4B94">
        <w:rPr>
          <w:rFonts w:ascii="Times New Roman" w:hAnsi="Times New Roman" w:cs="Times New Roman"/>
        </w:rPr>
        <w:lastRenderedPageBreak/>
        <w:t>insuficientes, obrigando pacientes a buscar atendimento em centros distantes.</w:t>
      </w:r>
      <w:r w:rsidR="000D5F58">
        <w:rPr>
          <w:noProof/>
        </w:rPr>
        <w:drawing>
          <wp:inline distT="0" distB="0" distL="0" distR="0" wp14:anchorId="437D54BB" wp14:editId="471DD163">
            <wp:extent cx="5400040" cy="2159635"/>
            <wp:effectExtent l="0" t="0" r="0" b="0"/>
            <wp:docPr id="13617427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2159635"/>
                    </a:xfrm>
                    <a:prstGeom prst="rect">
                      <a:avLst/>
                    </a:prstGeom>
                    <a:noFill/>
                    <a:ln>
                      <a:noFill/>
                    </a:ln>
                  </pic:spPr>
                </pic:pic>
              </a:graphicData>
            </a:graphic>
          </wp:inline>
        </w:drawing>
      </w:r>
    </w:p>
    <w:p w14:paraId="7B94E0E1" w14:textId="1E0BFD03" w:rsidR="00AE1769" w:rsidRDefault="00AE1769">
      <w:pPr>
        <w:rPr>
          <w:rFonts w:ascii="Times New Roman" w:hAnsi="Times New Roman" w:cs="Times New Roman"/>
          <w:b/>
          <w:bCs/>
        </w:rPr>
      </w:pPr>
      <w:r w:rsidRPr="00AE1769">
        <w:rPr>
          <w:rFonts w:ascii="Times New Roman" w:hAnsi="Times New Roman" w:cs="Times New Roman"/>
          <w:b/>
          <w:bCs/>
        </w:rPr>
        <w:t>b. Taxa de Evasão Por Município</w:t>
      </w:r>
    </w:p>
    <w:p w14:paraId="2F280368" w14:textId="0D3DC72A" w:rsidR="00F00841" w:rsidRPr="00F00841" w:rsidRDefault="007C4B94" w:rsidP="00F00841">
      <w:pPr>
        <w:ind w:firstLine="708"/>
        <w:rPr>
          <w:rFonts w:ascii="Times New Roman" w:hAnsi="Times New Roman" w:cs="Times New Roman"/>
        </w:rPr>
      </w:pPr>
      <w:r>
        <w:rPr>
          <w:rFonts w:ascii="Times New Roman" w:hAnsi="Times New Roman" w:cs="Times New Roman"/>
        </w:rPr>
        <w:t>A</w:t>
      </w:r>
      <w:r w:rsidR="00F00841" w:rsidRPr="00F00841">
        <w:rPr>
          <w:rFonts w:ascii="Times New Roman" w:hAnsi="Times New Roman" w:cs="Times New Roman"/>
        </w:rPr>
        <w:t xml:space="preserve"> dos municípios tem entre 96% e 100% dos seus pacientes internados em outras cidades, evidenciando que a rede psiquiátrica é altamente centralizada. Os poucos municípios com baixa evasão são justamente as cidades-polo que recebem esses pacientes, como São Paulo e Campinas, reforçando um padrão de concentração de oferta que impõe barreiras de acesso severas às populações mais vulneráveis.</w:t>
      </w:r>
    </w:p>
    <w:p w14:paraId="6DF38F39" w14:textId="1816F478" w:rsidR="00917E03" w:rsidRPr="00AE1769" w:rsidRDefault="000D5F58" w:rsidP="000D5F58">
      <w:pPr>
        <w:ind w:firstLine="708"/>
        <w:jc w:val="center"/>
        <w:rPr>
          <w:rFonts w:ascii="Times New Roman" w:hAnsi="Times New Roman" w:cs="Times New Roman"/>
        </w:rPr>
      </w:pPr>
      <w:r>
        <w:rPr>
          <w:noProof/>
        </w:rPr>
        <w:drawing>
          <wp:inline distT="0" distB="0" distL="0" distR="0" wp14:anchorId="1C8635E0" wp14:editId="0E99E622">
            <wp:extent cx="4328160" cy="3052208"/>
            <wp:effectExtent l="0" t="0" r="0" b="0"/>
            <wp:docPr id="14491084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35613" cy="3057464"/>
                    </a:xfrm>
                    <a:prstGeom prst="rect">
                      <a:avLst/>
                    </a:prstGeom>
                    <a:noFill/>
                    <a:ln>
                      <a:noFill/>
                    </a:ln>
                  </pic:spPr>
                </pic:pic>
              </a:graphicData>
            </a:graphic>
          </wp:inline>
        </w:drawing>
      </w:r>
    </w:p>
    <w:p w14:paraId="47FCE45F" w14:textId="35E1DD75" w:rsidR="00AE1769" w:rsidRDefault="00AE1769">
      <w:pPr>
        <w:rPr>
          <w:rFonts w:ascii="Times New Roman" w:hAnsi="Times New Roman" w:cs="Times New Roman"/>
          <w:b/>
          <w:bCs/>
        </w:rPr>
      </w:pPr>
      <w:r w:rsidRPr="00AE1769">
        <w:rPr>
          <w:rFonts w:ascii="Times New Roman" w:hAnsi="Times New Roman" w:cs="Times New Roman"/>
          <w:b/>
          <w:bCs/>
        </w:rPr>
        <w:t>c. Mapa Comparativo Por Período</w:t>
      </w:r>
    </w:p>
    <w:p w14:paraId="0BEA8B04" w14:textId="34FD719C" w:rsidR="00F00841" w:rsidRPr="00F00841" w:rsidRDefault="00F00841" w:rsidP="00F00841">
      <w:pPr>
        <w:ind w:firstLine="708"/>
        <w:rPr>
          <w:rFonts w:ascii="Times New Roman" w:hAnsi="Times New Roman" w:cs="Times New Roman"/>
        </w:rPr>
      </w:pPr>
      <w:r w:rsidRPr="00F00841">
        <w:rPr>
          <w:rFonts w:ascii="Times New Roman" w:hAnsi="Times New Roman" w:cs="Times New Roman"/>
        </w:rPr>
        <w:t xml:space="preserve">O painel comparativo mostra que o padrão espacial das internações se mantém semelhante nos três períodos analisados. Os mesmos municípios continuam concentrando a maior parte das internações antes, durante e após a pandemia. Durante a pandemia, houve redução no número absoluto de internações, o que aparece no mapa com tons mais claros, mas a localização dos principais polos de atendimento permaneceu praticamente a mesma. No período pós-pandemia, observa-se uma recuperação parcial das internações nos grandes centros, enquanto regiões mais </w:t>
      </w:r>
      <w:r w:rsidRPr="00F00841">
        <w:rPr>
          <w:rFonts w:ascii="Times New Roman" w:hAnsi="Times New Roman" w:cs="Times New Roman"/>
        </w:rPr>
        <w:lastRenderedPageBreak/>
        <w:t>periféricas apresentam recuperação menor. Esse padrão sugere que a rede de saúde mental nessas áreas pode não ter retomado totalmente sua capacidade após a pandemia. A permanência desse padrão ao longo de vários anos indica que as diferenças geográficas na oferta de assistência psiquiátrica no estado têm caráter estrutural.</w:t>
      </w:r>
    </w:p>
    <w:p w14:paraId="66554EF0" w14:textId="2BEFD3E3" w:rsidR="00917E03" w:rsidRPr="00AE1769" w:rsidRDefault="000D5F58" w:rsidP="00F00841">
      <w:pPr>
        <w:ind w:firstLine="708"/>
        <w:jc w:val="both"/>
        <w:rPr>
          <w:rFonts w:ascii="Times New Roman" w:hAnsi="Times New Roman" w:cs="Times New Roman"/>
        </w:rPr>
      </w:pPr>
      <w:r>
        <w:rPr>
          <w:noProof/>
        </w:rPr>
        <w:drawing>
          <wp:inline distT="0" distB="0" distL="0" distR="0" wp14:anchorId="2AA08468" wp14:editId="77429D15">
            <wp:extent cx="5400040" cy="2043085"/>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40" cy="2043085"/>
                    </a:xfrm>
                    <a:prstGeom prst="rect">
                      <a:avLst/>
                    </a:prstGeom>
                    <a:noFill/>
                    <a:ln>
                      <a:noFill/>
                    </a:ln>
                  </pic:spPr>
                </pic:pic>
              </a:graphicData>
            </a:graphic>
          </wp:inline>
        </w:drawing>
      </w:r>
    </w:p>
    <w:p w14:paraId="5A3B9E7C" w14:textId="043C0696" w:rsidR="00555770" w:rsidRPr="00AE1769" w:rsidRDefault="00555770">
      <w:pPr>
        <w:rPr>
          <w:rFonts w:ascii="Times New Roman" w:hAnsi="Times New Roman" w:cs="Times New Roman"/>
          <w:b/>
          <w:bCs/>
        </w:rPr>
      </w:pPr>
      <w:r w:rsidRPr="00AE1769">
        <w:rPr>
          <w:rFonts w:ascii="Times New Roman" w:hAnsi="Times New Roman" w:cs="Times New Roman"/>
          <w:b/>
          <w:bCs/>
        </w:rPr>
        <w:t>5. Síntese</w:t>
      </w:r>
    </w:p>
    <w:p w14:paraId="7CB680CB" w14:textId="24CF3B65" w:rsidR="00AE1769" w:rsidRPr="00AE1769" w:rsidRDefault="00AE1769">
      <w:pPr>
        <w:rPr>
          <w:rFonts w:ascii="Times New Roman" w:hAnsi="Times New Roman" w:cs="Times New Roman"/>
          <w:b/>
          <w:bCs/>
        </w:rPr>
      </w:pPr>
      <w:r w:rsidRPr="00AE1769">
        <w:rPr>
          <w:rFonts w:ascii="Times New Roman" w:hAnsi="Times New Roman" w:cs="Times New Roman"/>
          <w:b/>
          <w:bCs/>
        </w:rPr>
        <w:t>a. Evasão Estrutural e Crescente</w:t>
      </w:r>
    </w:p>
    <w:p w14:paraId="773DA1DA" w14:textId="01F004A9" w:rsidR="00D77921" w:rsidRPr="00D77921" w:rsidRDefault="00D77921" w:rsidP="00D77921">
      <w:pPr>
        <w:ind w:firstLine="708"/>
        <w:rPr>
          <w:rFonts w:ascii="Times New Roman" w:hAnsi="Times New Roman" w:cs="Times New Roman"/>
        </w:rPr>
      </w:pPr>
      <w:r w:rsidRPr="00D77921">
        <w:rPr>
          <w:rFonts w:ascii="Times New Roman" w:hAnsi="Times New Roman" w:cs="Times New Roman"/>
        </w:rPr>
        <w:t>A taxa de evasão municipal em saúde mental no estado de São Paulo é alta, cerca de 39% a 41%, e aumentou no período pós-pandemia. Esse resultado indica que o problema não é apenas momentâneo, mas estrutural, relacionado à distribuição historicamente desigual de leitos psiquiátricos entre os municípios.</w:t>
      </w:r>
    </w:p>
    <w:p w14:paraId="0261E8C0" w14:textId="5E576898" w:rsidR="00AE1769" w:rsidRPr="00AE1769" w:rsidRDefault="00AE1769">
      <w:pPr>
        <w:rPr>
          <w:rFonts w:ascii="Times New Roman" w:hAnsi="Times New Roman" w:cs="Times New Roman"/>
          <w:b/>
          <w:bCs/>
        </w:rPr>
      </w:pPr>
      <w:r w:rsidRPr="00AE1769">
        <w:rPr>
          <w:rFonts w:ascii="Times New Roman" w:hAnsi="Times New Roman" w:cs="Times New Roman"/>
          <w:b/>
          <w:bCs/>
        </w:rPr>
        <w:t xml:space="preserve">b. </w:t>
      </w:r>
      <w:proofErr w:type="spellStart"/>
      <w:r w:rsidRPr="00AE1769">
        <w:rPr>
          <w:rFonts w:ascii="Times New Roman" w:hAnsi="Times New Roman" w:cs="Times New Roman"/>
          <w:b/>
          <w:bCs/>
        </w:rPr>
        <w:t>Deficit</w:t>
      </w:r>
      <w:proofErr w:type="spellEnd"/>
      <w:r w:rsidRPr="00AE1769">
        <w:rPr>
          <w:rFonts w:ascii="Times New Roman" w:hAnsi="Times New Roman" w:cs="Times New Roman"/>
          <w:b/>
          <w:bCs/>
        </w:rPr>
        <w:t xml:space="preserve"> de Cobertura</w:t>
      </w:r>
    </w:p>
    <w:p w14:paraId="478BB482" w14:textId="5A547139" w:rsidR="00AE1769" w:rsidRPr="00AE1769" w:rsidRDefault="00AE1769" w:rsidP="00AE1769">
      <w:pPr>
        <w:ind w:firstLine="708"/>
        <w:rPr>
          <w:rFonts w:ascii="Times New Roman" w:hAnsi="Times New Roman" w:cs="Times New Roman"/>
        </w:rPr>
      </w:pPr>
      <w:r w:rsidRPr="00AE1769">
        <w:rPr>
          <w:rFonts w:ascii="Times New Roman" w:hAnsi="Times New Roman" w:cs="Times New Roman"/>
        </w:rPr>
        <w:t xml:space="preserve">925 municípios (73,6% dos municípios de origem) são vazios assistenciais crônicos, sem capacidade de internar seus próprios residentes. </w:t>
      </w:r>
    </w:p>
    <w:p w14:paraId="49D85DF1" w14:textId="036E3E98" w:rsidR="00AE1769" w:rsidRPr="00AE1769" w:rsidRDefault="00AE1769">
      <w:pPr>
        <w:rPr>
          <w:rFonts w:ascii="Times New Roman" w:hAnsi="Times New Roman" w:cs="Times New Roman"/>
          <w:b/>
          <w:bCs/>
        </w:rPr>
      </w:pPr>
      <w:r w:rsidRPr="00AE1769">
        <w:rPr>
          <w:rFonts w:ascii="Times New Roman" w:hAnsi="Times New Roman" w:cs="Times New Roman"/>
          <w:b/>
          <w:bCs/>
        </w:rPr>
        <w:t>c. Efeito Pandemia Heterogêneo</w:t>
      </w:r>
    </w:p>
    <w:p w14:paraId="6DE4C1D5" w14:textId="77777777" w:rsidR="00D77921" w:rsidRDefault="00D77921" w:rsidP="00D77921">
      <w:pPr>
        <w:ind w:firstLine="708"/>
        <w:rPr>
          <w:rFonts w:ascii="Times New Roman" w:hAnsi="Times New Roman" w:cs="Times New Roman"/>
        </w:rPr>
      </w:pPr>
      <w:r w:rsidRPr="00D77921">
        <w:rPr>
          <w:rFonts w:ascii="Times New Roman" w:hAnsi="Times New Roman" w:cs="Times New Roman"/>
        </w:rPr>
        <w:t>A pandemia reduziu o volume absoluto de internações, mas não alterou o padrão espacial. O deslocamento entre as DRS caiu durante a pandemia, possivelmente devido às restrições de mobilidade e às mudanças no funcionamento dos serviços durante os lockdowns. No período pós-pandemia, esse fluxo voltou a crescer, indicando retomada dos deslocamentos entre regiões.</w:t>
      </w:r>
    </w:p>
    <w:p w14:paraId="37EBAB76" w14:textId="4DF29256" w:rsidR="00AE1769" w:rsidRPr="00AE1769" w:rsidRDefault="00AE1769">
      <w:pPr>
        <w:rPr>
          <w:rFonts w:ascii="Times New Roman" w:hAnsi="Times New Roman" w:cs="Times New Roman"/>
          <w:b/>
          <w:bCs/>
        </w:rPr>
      </w:pPr>
      <w:r w:rsidRPr="00AE1769">
        <w:rPr>
          <w:rFonts w:ascii="Times New Roman" w:hAnsi="Times New Roman" w:cs="Times New Roman"/>
          <w:b/>
          <w:bCs/>
        </w:rPr>
        <w:t>d. Concentração em Poucos Polos</w:t>
      </w:r>
    </w:p>
    <w:p w14:paraId="5B286EF0" w14:textId="77777777" w:rsidR="00D77921" w:rsidRPr="00D77921" w:rsidRDefault="00D77921" w:rsidP="00D77921">
      <w:pPr>
        <w:ind w:firstLine="708"/>
        <w:rPr>
          <w:rFonts w:ascii="Times New Roman" w:hAnsi="Times New Roman" w:cs="Times New Roman"/>
        </w:rPr>
      </w:pPr>
      <w:r w:rsidRPr="00D77921">
        <w:rPr>
          <w:rFonts w:ascii="Times New Roman" w:hAnsi="Times New Roman" w:cs="Times New Roman"/>
        </w:rPr>
        <w:t>A concentração de internações em poucos municípios receptores cria dependência da rede em relação a alguns polos de atendimento, o que pode gerar fragilidade no sistema. A DRS Grande São Paulo e seus principais municípios de referência funcionam como pontos centrais da rede psiquiátrica estadual, recebendo pacientes de diversas outras localidades.</w:t>
      </w:r>
    </w:p>
    <w:p w14:paraId="3A327473" w14:textId="17EC3C55" w:rsidR="00AE1769" w:rsidRPr="00AE1769" w:rsidRDefault="00AE1769">
      <w:pPr>
        <w:rPr>
          <w:rFonts w:ascii="Times New Roman" w:hAnsi="Times New Roman" w:cs="Times New Roman"/>
        </w:rPr>
      </w:pPr>
    </w:p>
    <w:sectPr w:rsidR="00AE1769" w:rsidRPr="00AE176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B3C8E"/>
    <w:multiLevelType w:val="multilevel"/>
    <w:tmpl w:val="8C788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7642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770"/>
    <w:rsid w:val="000070D0"/>
    <w:rsid w:val="000826A9"/>
    <w:rsid w:val="000D5F58"/>
    <w:rsid w:val="001402C9"/>
    <w:rsid w:val="00253206"/>
    <w:rsid w:val="0030680A"/>
    <w:rsid w:val="003A7D57"/>
    <w:rsid w:val="00402372"/>
    <w:rsid w:val="004E0308"/>
    <w:rsid w:val="00555770"/>
    <w:rsid w:val="006A781A"/>
    <w:rsid w:val="007C4B94"/>
    <w:rsid w:val="008431A8"/>
    <w:rsid w:val="00874B29"/>
    <w:rsid w:val="008E3C4B"/>
    <w:rsid w:val="00917E03"/>
    <w:rsid w:val="0098015A"/>
    <w:rsid w:val="00A478AF"/>
    <w:rsid w:val="00AE1769"/>
    <w:rsid w:val="00B20032"/>
    <w:rsid w:val="00BB7E4B"/>
    <w:rsid w:val="00BC5696"/>
    <w:rsid w:val="00C5624B"/>
    <w:rsid w:val="00C64192"/>
    <w:rsid w:val="00D77921"/>
    <w:rsid w:val="00EB6E46"/>
    <w:rsid w:val="00EF5382"/>
    <w:rsid w:val="00F0084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A076B"/>
  <w15:chartTrackingRefBased/>
  <w15:docId w15:val="{7D097337-F255-41E3-AA8E-9381454AB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770"/>
  </w:style>
  <w:style w:type="paragraph" w:styleId="Heading1">
    <w:name w:val="heading 1"/>
    <w:basedOn w:val="Normal"/>
    <w:next w:val="Normal"/>
    <w:link w:val="Heading1Char"/>
    <w:uiPriority w:val="9"/>
    <w:qFormat/>
    <w:rsid w:val="005557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57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57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57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57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57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7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7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7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7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57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57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57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57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57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7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7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770"/>
    <w:rPr>
      <w:rFonts w:eastAsiaTheme="majorEastAsia" w:cstheme="majorBidi"/>
      <w:color w:val="272727" w:themeColor="text1" w:themeTint="D8"/>
    </w:rPr>
  </w:style>
  <w:style w:type="paragraph" w:styleId="Title">
    <w:name w:val="Title"/>
    <w:basedOn w:val="Normal"/>
    <w:next w:val="Normal"/>
    <w:link w:val="TitleChar"/>
    <w:uiPriority w:val="10"/>
    <w:qFormat/>
    <w:rsid w:val="005557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7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7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7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770"/>
    <w:pPr>
      <w:spacing w:before="160"/>
      <w:jc w:val="center"/>
    </w:pPr>
    <w:rPr>
      <w:i/>
      <w:iCs/>
      <w:color w:val="404040" w:themeColor="text1" w:themeTint="BF"/>
    </w:rPr>
  </w:style>
  <w:style w:type="character" w:customStyle="1" w:styleId="QuoteChar">
    <w:name w:val="Quote Char"/>
    <w:basedOn w:val="DefaultParagraphFont"/>
    <w:link w:val="Quote"/>
    <w:uiPriority w:val="29"/>
    <w:rsid w:val="00555770"/>
    <w:rPr>
      <w:i/>
      <w:iCs/>
      <w:color w:val="404040" w:themeColor="text1" w:themeTint="BF"/>
    </w:rPr>
  </w:style>
  <w:style w:type="paragraph" w:styleId="ListParagraph">
    <w:name w:val="List Paragraph"/>
    <w:basedOn w:val="Normal"/>
    <w:uiPriority w:val="34"/>
    <w:qFormat/>
    <w:rsid w:val="00555770"/>
    <w:pPr>
      <w:ind w:left="720"/>
      <w:contextualSpacing/>
    </w:pPr>
  </w:style>
  <w:style w:type="character" w:styleId="IntenseEmphasis">
    <w:name w:val="Intense Emphasis"/>
    <w:basedOn w:val="DefaultParagraphFont"/>
    <w:uiPriority w:val="21"/>
    <w:qFormat/>
    <w:rsid w:val="00555770"/>
    <w:rPr>
      <w:i/>
      <w:iCs/>
      <w:color w:val="0F4761" w:themeColor="accent1" w:themeShade="BF"/>
    </w:rPr>
  </w:style>
  <w:style w:type="paragraph" w:styleId="IntenseQuote">
    <w:name w:val="Intense Quote"/>
    <w:basedOn w:val="Normal"/>
    <w:next w:val="Normal"/>
    <w:link w:val="IntenseQuoteChar"/>
    <w:uiPriority w:val="30"/>
    <w:qFormat/>
    <w:rsid w:val="005557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5770"/>
    <w:rPr>
      <w:i/>
      <w:iCs/>
      <w:color w:val="0F4761" w:themeColor="accent1" w:themeShade="BF"/>
    </w:rPr>
  </w:style>
  <w:style w:type="character" w:styleId="IntenseReference">
    <w:name w:val="Intense Reference"/>
    <w:basedOn w:val="DefaultParagraphFont"/>
    <w:uiPriority w:val="32"/>
    <w:qFormat/>
    <w:rsid w:val="00555770"/>
    <w:rPr>
      <w:b/>
      <w:bCs/>
      <w:smallCaps/>
      <w:color w:val="0F4761" w:themeColor="accent1" w:themeShade="BF"/>
      <w:spacing w:val="5"/>
    </w:rPr>
  </w:style>
  <w:style w:type="table" w:styleId="TableGrid">
    <w:name w:val="Table Grid"/>
    <w:basedOn w:val="TableNormal"/>
    <w:uiPriority w:val="39"/>
    <w:rsid w:val="00BC56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E176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C64192"/>
    <w:rPr>
      <w:color w:val="467886" w:themeColor="hyperlink"/>
      <w:u w:val="single"/>
    </w:rPr>
  </w:style>
  <w:style w:type="character" w:styleId="UnresolvedMention">
    <w:name w:val="Unresolved Mention"/>
    <w:basedOn w:val="DefaultParagraphFont"/>
    <w:uiPriority w:val="99"/>
    <w:semiHidden/>
    <w:unhideWhenUsed/>
    <w:rsid w:val="00C641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319</TotalTime>
  <Pages>9</Pages>
  <Words>1845</Words>
  <Characters>9967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Yumi Tinem</dc:creator>
  <cp:keywords/>
  <dc:description/>
  <cp:lastModifiedBy>Yumi Tinem</cp:lastModifiedBy>
  <cp:revision>4</cp:revision>
  <dcterms:created xsi:type="dcterms:W3CDTF">2026-03-13T01:23:00Z</dcterms:created>
  <dcterms:modified xsi:type="dcterms:W3CDTF">2026-03-17T00:32:00Z</dcterms:modified>
</cp:coreProperties>
</file>